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43C" w:rsidRDefault="005F043C">
      <w:pPr>
        <w:rPr>
          <w:rFonts w:ascii="Calibri" w:hAnsi="Calibri"/>
          <w:lang w:val="en-GB"/>
        </w:rPr>
      </w:pPr>
    </w:p>
    <w:p w:rsidR="004672A7" w:rsidRPr="004672A7" w:rsidRDefault="004672A7" w:rsidP="004672A7">
      <w:pPr>
        <w:spacing w:after="0" w:line="240" w:lineRule="auto"/>
        <w:ind w:left="1134" w:right="1134"/>
        <w:jc w:val="center"/>
        <w:rPr>
          <w:rFonts w:ascii="Calibri" w:eastAsia="Times New Roman" w:hAnsi="Calibri" w:cs="Times New Roman"/>
          <w:color w:val="03A0CD"/>
          <w:sz w:val="56"/>
          <w:szCs w:val="44"/>
          <w:lang w:val="en-GB"/>
        </w:rPr>
      </w:pPr>
      <w:r w:rsidRPr="004672A7">
        <w:rPr>
          <w:rFonts w:ascii="Calibri" w:eastAsia="Times New Roman" w:hAnsi="Calibri" w:cs="Times New Roman"/>
          <w:color w:val="03A0CD"/>
          <w:sz w:val="56"/>
          <w:szCs w:val="44"/>
          <w:lang w:val="en-GB"/>
        </w:rPr>
        <w:t xml:space="preserve">Market Place </w:t>
      </w:r>
    </w:p>
    <w:p w:rsidR="004672A7" w:rsidRPr="004672A7" w:rsidRDefault="004672A7" w:rsidP="004672A7">
      <w:pPr>
        <w:spacing w:after="0" w:line="240" w:lineRule="auto"/>
        <w:ind w:left="1134" w:right="1134"/>
        <w:jc w:val="center"/>
        <w:rPr>
          <w:rFonts w:ascii="Calibri" w:eastAsia="Times New Roman" w:hAnsi="Calibri" w:cs="Times New Roman"/>
          <w:color w:val="03A0CD"/>
          <w:sz w:val="32"/>
          <w:szCs w:val="44"/>
          <w:lang w:val="en-GB"/>
        </w:rPr>
      </w:pPr>
      <w:proofErr w:type="gramStart"/>
      <w:r w:rsidRPr="004672A7">
        <w:rPr>
          <w:rFonts w:ascii="Calibri" w:eastAsia="Times New Roman" w:hAnsi="Calibri" w:cs="Times New Roman"/>
          <w:color w:val="03A0CD"/>
          <w:sz w:val="32"/>
          <w:szCs w:val="44"/>
          <w:lang w:val="en-GB"/>
        </w:rPr>
        <w:t>of</w:t>
      </w:r>
      <w:proofErr w:type="gramEnd"/>
      <w:r w:rsidRPr="004672A7">
        <w:rPr>
          <w:rFonts w:ascii="Calibri" w:eastAsia="Times New Roman" w:hAnsi="Calibri" w:cs="Times New Roman"/>
          <w:color w:val="03A0CD"/>
          <w:sz w:val="32"/>
          <w:szCs w:val="44"/>
          <w:lang w:val="en-GB"/>
        </w:rPr>
        <w:t xml:space="preserve"> the European Innovation Partnership on </w:t>
      </w:r>
    </w:p>
    <w:p w:rsidR="004672A7" w:rsidRPr="007846F1" w:rsidRDefault="004672A7" w:rsidP="004672A7">
      <w:pPr>
        <w:spacing w:after="0" w:line="240" w:lineRule="auto"/>
        <w:ind w:left="1134" w:right="1134"/>
        <w:jc w:val="center"/>
        <w:rPr>
          <w:rFonts w:ascii="Calibri" w:eastAsia="Times New Roman" w:hAnsi="Calibri" w:cs="Times New Roman"/>
          <w:color w:val="03A0CD"/>
          <w:sz w:val="56"/>
          <w:szCs w:val="44"/>
        </w:rPr>
      </w:pPr>
      <w:r w:rsidRPr="007846F1">
        <w:rPr>
          <w:rFonts w:ascii="Calibri" w:eastAsia="Times New Roman" w:hAnsi="Calibri" w:cs="Times New Roman"/>
          <w:color w:val="03A0CD"/>
          <w:sz w:val="56"/>
          <w:szCs w:val="44"/>
        </w:rPr>
        <w:t>Smart Cities and Communities</w:t>
      </w:r>
    </w:p>
    <w:p w:rsidR="004672A7" w:rsidRPr="00697366" w:rsidRDefault="004672A7" w:rsidP="004672A7">
      <w:pPr>
        <w:spacing w:after="0" w:line="240" w:lineRule="auto"/>
        <w:ind w:left="1418" w:right="1418"/>
        <w:jc w:val="center"/>
        <w:rPr>
          <w:rFonts w:ascii="Calibri" w:eastAsia="Times New Roman" w:hAnsi="Calibri" w:cs="Times New Roman"/>
          <w:color w:val="03A0CD"/>
          <w:sz w:val="16"/>
          <w:szCs w:val="16"/>
        </w:rPr>
      </w:pPr>
    </w:p>
    <w:p w:rsidR="004672A7" w:rsidRPr="007846F1" w:rsidRDefault="004672A7" w:rsidP="004672A7">
      <w:pPr>
        <w:spacing w:after="0" w:line="312" w:lineRule="auto"/>
        <w:jc w:val="center"/>
        <w:rPr>
          <w:rFonts w:ascii="Calibri" w:eastAsia="Times New Roman" w:hAnsi="Calibri" w:cs="Times New Roman"/>
          <w:b/>
          <w:bCs/>
          <w:caps/>
          <w:color w:val="03A0CD"/>
          <w:sz w:val="18"/>
          <w:szCs w:val="20"/>
          <w:lang w:eastAsia="es-ES_tradnl"/>
        </w:rPr>
      </w:pPr>
      <w:r>
        <w:rPr>
          <w:rFonts w:ascii="Calibri" w:eastAsia="Times New Roman" w:hAnsi="Calibri" w:cs="Times New Roman"/>
          <w:b/>
          <w:bCs/>
          <w:caps/>
          <w:noProof/>
          <w:color w:val="03A0CD"/>
          <w:sz w:val="18"/>
          <w:szCs w:val="20"/>
          <w:lang w:val="en-US"/>
        </w:rPr>
        <w:drawing>
          <wp:inline distT="0" distB="0" distL="0" distR="0" wp14:anchorId="274E8007" wp14:editId="09925839">
            <wp:extent cx="3341077" cy="33410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P-SCC_VisuElementOnly.png"/>
                    <pic:cNvPicPr/>
                  </pic:nvPicPr>
                  <pic:blipFill>
                    <a:blip r:embed="rId7">
                      <a:extLst>
                        <a:ext uri="{28A0092B-C50C-407E-A947-70E740481C1C}">
                          <a14:useLocalDpi xmlns:a14="http://schemas.microsoft.com/office/drawing/2010/main" val="0"/>
                        </a:ext>
                      </a:extLst>
                    </a:blip>
                    <a:stretch>
                      <a:fillRect/>
                    </a:stretch>
                  </pic:blipFill>
                  <pic:spPr>
                    <a:xfrm>
                      <a:off x="0" y="0"/>
                      <a:ext cx="3349792" cy="3349792"/>
                    </a:xfrm>
                    <a:prstGeom prst="rect">
                      <a:avLst/>
                    </a:prstGeom>
                  </pic:spPr>
                </pic:pic>
              </a:graphicData>
            </a:graphic>
          </wp:inline>
        </w:drawing>
      </w:r>
    </w:p>
    <w:p w:rsidR="00FB226F" w:rsidRPr="00FB226F" w:rsidRDefault="00FB226F" w:rsidP="00FB226F">
      <w:pPr>
        <w:spacing w:after="0" w:line="240" w:lineRule="auto"/>
        <w:jc w:val="center"/>
        <w:rPr>
          <w:rFonts w:ascii="Calibri" w:eastAsiaTheme="majorEastAsia" w:hAnsi="Calibri" w:cs="Times New Roman"/>
          <w:b/>
          <w:color w:val="03A0CD"/>
          <w:spacing w:val="5"/>
          <w:kern w:val="28"/>
          <w:sz w:val="32"/>
          <w:szCs w:val="52"/>
          <w:lang w:val="en-GB"/>
        </w:rPr>
      </w:pPr>
      <w:r w:rsidRPr="00FB226F">
        <w:rPr>
          <w:rFonts w:ascii="Calibri" w:eastAsiaTheme="majorEastAsia" w:hAnsi="Calibri" w:cs="Times New Roman"/>
          <w:b/>
          <w:color w:val="03A0CD"/>
          <w:spacing w:val="5"/>
          <w:kern w:val="28"/>
          <w:sz w:val="32"/>
          <w:szCs w:val="52"/>
          <w:lang w:val="en-GB"/>
        </w:rPr>
        <w:t>Agenda of the</w:t>
      </w:r>
    </w:p>
    <w:p w:rsidR="004672A7" w:rsidRPr="00FB226F" w:rsidRDefault="00865850" w:rsidP="00FB226F">
      <w:pPr>
        <w:pBdr>
          <w:bottom w:val="single" w:sz="8" w:space="4" w:color="03A0CD"/>
        </w:pBdr>
        <w:spacing w:after="0" w:line="240" w:lineRule="auto"/>
        <w:ind w:left="1701" w:right="1701"/>
        <w:jc w:val="center"/>
        <w:rPr>
          <w:rFonts w:ascii="Calibri" w:eastAsia="Times New Roman" w:hAnsi="Calibri" w:cs="Times New Roman"/>
          <w:b/>
          <w:color w:val="03A0CD"/>
          <w:spacing w:val="5"/>
          <w:kern w:val="28"/>
          <w:sz w:val="52"/>
          <w:szCs w:val="52"/>
          <w:lang w:val="en-GB"/>
        </w:rPr>
      </w:pPr>
      <w:sdt>
        <w:sdtPr>
          <w:rPr>
            <w:rFonts w:ascii="Calibri" w:eastAsiaTheme="majorEastAsia" w:hAnsi="Calibri" w:cs="Times New Roman"/>
            <w:b/>
            <w:color w:val="03A0CD"/>
            <w:spacing w:val="5"/>
            <w:kern w:val="28"/>
            <w:sz w:val="44"/>
            <w:szCs w:val="52"/>
            <w:lang w:val="en-GB"/>
          </w:rPr>
          <w:alias w:val="Título"/>
          <w:tag w:val="Título"/>
          <w:id w:val="15524250"/>
          <w:placeholder>
            <w:docPart w:val="F6C157A36CBB490E82F6FE60BD65FBB6"/>
          </w:placeholder>
          <w:dataBinding w:prefixMappings="xmlns:ns0='http://schemas.openxmlformats.org/package/2006/metadata/core-properties' xmlns:ns1='http://purl.org/dc/elements/1.1/'" w:xpath="/ns0:coreProperties[1]/ns1:title[1]" w:storeItemID="{6C3C8BC8-F283-45AE-878A-BAB7291924A1}"/>
          <w:text/>
        </w:sdtPr>
        <w:sdtEndPr/>
        <w:sdtContent>
          <w:r w:rsidR="00FB226F" w:rsidRPr="00FB226F">
            <w:rPr>
              <w:rFonts w:ascii="Calibri" w:eastAsiaTheme="majorEastAsia" w:hAnsi="Calibri" w:cs="Times New Roman"/>
              <w:b/>
              <w:color w:val="03A0CD"/>
              <w:spacing w:val="5"/>
              <w:kern w:val="28"/>
              <w:sz w:val="44"/>
              <w:szCs w:val="52"/>
              <w:lang w:val="en-GB"/>
            </w:rPr>
            <w:t>AC MEETING</w:t>
          </w:r>
        </w:sdtContent>
      </w:sdt>
    </w:p>
    <w:p w:rsidR="004672A7" w:rsidRPr="00FB226F" w:rsidRDefault="00865850" w:rsidP="00FB226F">
      <w:pPr>
        <w:spacing w:before="120" w:after="0" w:line="240" w:lineRule="auto"/>
        <w:ind w:left="1418" w:right="1418"/>
        <w:jc w:val="center"/>
        <w:rPr>
          <w:rFonts w:ascii="Calibri" w:eastAsia="Times New Roman" w:hAnsi="Calibri" w:cs="Times New Roman"/>
          <w:b/>
          <w:color w:val="03A0CD"/>
          <w:sz w:val="28"/>
          <w:szCs w:val="20"/>
          <w:lang w:val="en-GB" w:eastAsia="es-ES_tradnl"/>
        </w:rPr>
      </w:pPr>
      <w:sdt>
        <w:sdtPr>
          <w:rPr>
            <w:rFonts w:ascii="Calibri" w:eastAsia="Times New Roman" w:hAnsi="Calibri" w:cs="Times New Roman"/>
            <w:b/>
            <w:color w:val="03A0CD"/>
            <w:sz w:val="28"/>
            <w:szCs w:val="20"/>
            <w:lang w:val="en-GB" w:eastAsia="es-ES_tradnl"/>
          </w:rPr>
          <w:alias w:val="Name of the Action Cluster"/>
          <w:tag w:val="Name of the Action Cluster"/>
          <w:id w:val="309753207"/>
          <w:placeholder>
            <w:docPart w:val="2EEF0556288145B9957ECA9732EAF57B"/>
          </w:placeholder>
          <w:dataBinding w:prefixMappings="xmlns:ns0='http://schemas.openxmlformats.org/package/2006/metadata/core-properties' xmlns:ns1='http://purl.org/dc/elements/1.1/'" w:xpath="/ns0:coreProperties[1]/ns1:subject[1]" w:storeItemID="{6C3C8BC8-F283-45AE-878A-BAB7291924A1}"/>
          <w:text/>
        </w:sdtPr>
        <w:sdtEndPr/>
        <w:sdtContent>
          <w:r w:rsidR="004672A7" w:rsidRPr="00FB226F">
            <w:rPr>
              <w:rFonts w:ascii="Calibri" w:eastAsia="Times New Roman" w:hAnsi="Calibri" w:cs="Times New Roman"/>
              <w:b/>
              <w:color w:val="03A0CD"/>
              <w:sz w:val="28"/>
              <w:szCs w:val="20"/>
              <w:lang w:val="en-GB" w:eastAsia="es-ES_tradnl"/>
            </w:rPr>
            <w:t>Sustainable Urban Mobility</w:t>
          </w:r>
        </w:sdtContent>
      </w:sdt>
    </w:p>
    <w:p w:rsidR="004672A7" w:rsidRPr="00697366" w:rsidRDefault="004672A7" w:rsidP="004672A7">
      <w:pPr>
        <w:spacing w:after="0" w:line="312" w:lineRule="auto"/>
        <w:jc w:val="both"/>
        <w:rPr>
          <w:rFonts w:ascii="Calibri" w:eastAsia="Times New Roman" w:hAnsi="Calibri" w:cs="Times New Roman"/>
          <w:sz w:val="16"/>
          <w:szCs w:val="20"/>
          <w:lang w:val="en-GB" w:eastAsia="es-ES_tradnl"/>
        </w:rPr>
      </w:pPr>
    </w:p>
    <w:p w:rsidR="004672A7" w:rsidRPr="00697366" w:rsidRDefault="004672A7" w:rsidP="004672A7">
      <w:pPr>
        <w:spacing w:after="0" w:line="312" w:lineRule="auto"/>
        <w:jc w:val="both"/>
        <w:rPr>
          <w:rFonts w:ascii="Calibri" w:eastAsia="Times New Roman" w:hAnsi="Calibri" w:cs="Times New Roman"/>
          <w:sz w:val="16"/>
          <w:szCs w:val="16"/>
          <w:lang w:val="en-GB" w:eastAsia="es-ES_tradnl"/>
        </w:rPr>
      </w:pPr>
    </w:p>
    <w:p w:rsidR="00FB226F" w:rsidRPr="00FC231B" w:rsidRDefault="00FB226F" w:rsidP="00FB226F">
      <w:pPr>
        <w:spacing w:after="0" w:line="312" w:lineRule="auto"/>
        <w:jc w:val="center"/>
        <w:rPr>
          <w:rFonts w:ascii="Calibri" w:eastAsia="Times New Roman" w:hAnsi="Calibri" w:cs="Times New Roman"/>
          <w:b/>
          <w:color w:val="03A0CD"/>
          <w:sz w:val="24"/>
          <w:szCs w:val="24"/>
          <w:lang w:val="en-GB" w:eastAsia="es-ES_tradnl"/>
        </w:rPr>
      </w:pPr>
      <w:r w:rsidRPr="00FC231B">
        <w:rPr>
          <w:rFonts w:ascii="Calibri" w:eastAsia="Times New Roman" w:hAnsi="Calibri" w:cs="Times New Roman"/>
          <w:b/>
          <w:color w:val="03A0CD"/>
          <w:sz w:val="24"/>
          <w:szCs w:val="24"/>
          <w:lang w:val="en-GB" w:eastAsia="es-ES_tradnl"/>
        </w:rPr>
        <w:t>11</w:t>
      </w:r>
      <w:r w:rsidR="00FC231B" w:rsidRPr="00FC231B">
        <w:rPr>
          <w:rFonts w:ascii="Calibri" w:eastAsia="Times New Roman" w:hAnsi="Calibri" w:cs="Times New Roman"/>
          <w:b/>
          <w:color w:val="03A0CD"/>
          <w:sz w:val="24"/>
          <w:szCs w:val="24"/>
          <w:vertAlign w:val="superscript"/>
          <w:lang w:val="en-GB" w:eastAsia="es-ES_tradnl"/>
        </w:rPr>
        <w:t>th</w:t>
      </w:r>
      <w:r w:rsidR="00FC231B">
        <w:rPr>
          <w:rFonts w:ascii="Calibri" w:eastAsia="Times New Roman" w:hAnsi="Calibri" w:cs="Times New Roman"/>
          <w:b/>
          <w:color w:val="03A0CD"/>
          <w:sz w:val="24"/>
          <w:szCs w:val="24"/>
          <w:lang w:val="en-GB" w:eastAsia="es-ES_tradnl"/>
        </w:rPr>
        <w:t xml:space="preserve"> </w:t>
      </w:r>
      <w:r w:rsidRPr="00FC231B">
        <w:rPr>
          <w:rFonts w:ascii="Calibri" w:eastAsia="Times New Roman" w:hAnsi="Calibri" w:cs="Times New Roman"/>
          <w:b/>
          <w:color w:val="03A0CD"/>
          <w:sz w:val="24"/>
          <w:szCs w:val="24"/>
          <w:lang w:val="en-GB" w:eastAsia="es-ES_tradnl"/>
        </w:rPr>
        <w:t>October 2017</w:t>
      </w:r>
    </w:p>
    <w:p w:rsidR="00CC2710" w:rsidRPr="00FC231B" w:rsidRDefault="00CC2710" w:rsidP="00FB226F">
      <w:pPr>
        <w:spacing w:after="0" w:line="312" w:lineRule="auto"/>
        <w:jc w:val="center"/>
        <w:rPr>
          <w:rFonts w:ascii="Calibri" w:eastAsia="Times New Roman" w:hAnsi="Calibri" w:cs="Times New Roman"/>
          <w:b/>
          <w:color w:val="03A0CD"/>
          <w:sz w:val="24"/>
          <w:szCs w:val="24"/>
          <w:lang w:val="en-GB" w:eastAsia="es-ES_tradnl"/>
        </w:rPr>
      </w:pPr>
      <w:r w:rsidRPr="00FC231B">
        <w:rPr>
          <w:rFonts w:ascii="Calibri" w:eastAsia="Times New Roman" w:hAnsi="Calibri" w:cs="Times New Roman"/>
          <w:b/>
          <w:color w:val="03A0CD"/>
          <w:sz w:val="24"/>
          <w:szCs w:val="24"/>
          <w:lang w:val="en-GB" w:eastAsia="es-ES_tradnl"/>
        </w:rPr>
        <w:t>14.00 – 17:30</w:t>
      </w:r>
    </w:p>
    <w:p w:rsidR="00FB226F" w:rsidRPr="00B2754F" w:rsidRDefault="00FB226F" w:rsidP="00FB226F">
      <w:pPr>
        <w:spacing w:after="0" w:line="312" w:lineRule="auto"/>
        <w:jc w:val="center"/>
        <w:rPr>
          <w:rFonts w:ascii="Calibri" w:eastAsia="Times New Roman" w:hAnsi="Calibri" w:cs="Times New Roman"/>
          <w:b/>
          <w:color w:val="03A0CD"/>
          <w:sz w:val="24"/>
          <w:szCs w:val="24"/>
          <w:lang w:val="en-GB" w:eastAsia="es-ES_tradnl"/>
        </w:rPr>
      </w:pPr>
      <w:r w:rsidRPr="00B2754F">
        <w:rPr>
          <w:rFonts w:ascii="Calibri" w:eastAsia="Times New Roman" w:hAnsi="Calibri" w:cs="Times New Roman"/>
          <w:b/>
          <w:color w:val="03A0CD"/>
          <w:sz w:val="24"/>
          <w:szCs w:val="24"/>
          <w:lang w:val="en-GB" w:eastAsia="es-ES_tradnl"/>
        </w:rPr>
        <w:t>Brussels</w:t>
      </w:r>
      <w:r w:rsidR="00726C08" w:rsidRPr="00B2754F">
        <w:rPr>
          <w:rFonts w:ascii="Calibri" w:eastAsia="Times New Roman" w:hAnsi="Calibri" w:cs="Times New Roman"/>
          <w:b/>
          <w:color w:val="03A0CD"/>
          <w:sz w:val="24"/>
          <w:szCs w:val="24"/>
          <w:lang w:val="en-GB" w:eastAsia="es-ES_tradnl"/>
        </w:rPr>
        <w:t xml:space="preserve"> (BE)</w:t>
      </w:r>
    </w:p>
    <w:p w:rsidR="00697366" w:rsidRDefault="00697366" w:rsidP="00CC2710">
      <w:pPr>
        <w:spacing w:after="0" w:line="312" w:lineRule="auto"/>
        <w:jc w:val="center"/>
        <w:rPr>
          <w:rFonts w:ascii="Calibri" w:eastAsia="Times New Roman" w:hAnsi="Calibri" w:cs="Times New Roman"/>
          <w:b/>
          <w:color w:val="03A0CD"/>
          <w:sz w:val="24"/>
          <w:szCs w:val="24"/>
          <w:lang w:val="en-GB" w:eastAsia="es-ES_tradnl"/>
        </w:rPr>
      </w:pPr>
      <w:bookmarkStart w:id="0" w:name="_GoBack"/>
      <w:r w:rsidRPr="00B2754F">
        <w:rPr>
          <w:rFonts w:ascii="Calibri" w:eastAsia="Times New Roman" w:hAnsi="Calibri" w:cs="Times New Roman"/>
          <w:b/>
          <w:color w:val="03A0CD"/>
          <w:sz w:val="24"/>
          <w:szCs w:val="24"/>
          <w:lang w:val="en-GB" w:eastAsia="es-ES_tradnl"/>
        </w:rPr>
        <w:t>Meeting room</w:t>
      </w:r>
      <w:r w:rsidR="00CC2710" w:rsidRPr="00B2754F">
        <w:rPr>
          <w:rFonts w:ascii="Calibri" w:eastAsia="Times New Roman" w:hAnsi="Calibri" w:cs="Times New Roman"/>
          <w:b/>
          <w:color w:val="03A0CD"/>
          <w:sz w:val="24"/>
          <w:szCs w:val="24"/>
          <w:lang w:val="en-GB" w:eastAsia="es-ES_tradnl"/>
        </w:rPr>
        <w:t xml:space="preserve">: DG ENER </w:t>
      </w:r>
      <w:r w:rsidR="00B2754F" w:rsidRPr="00B2754F">
        <w:rPr>
          <w:rFonts w:ascii="Calibri" w:eastAsia="Times New Roman" w:hAnsi="Calibri" w:cs="Times New Roman"/>
          <w:b/>
          <w:color w:val="03A0CD"/>
          <w:sz w:val="24"/>
          <w:szCs w:val="24"/>
          <w:lang w:val="en-GB" w:eastAsia="es-ES_tradnl"/>
        </w:rPr>
        <w:t>DM24 03/058</w:t>
      </w:r>
    </w:p>
    <w:p w:rsidR="00942A62" w:rsidRPr="00B2754F" w:rsidRDefault="00942A62" w:rsidP="00CC2710">
      <w:pPr>
        <w:spacing w:after="0" w:line="312" w:lineRule="auto"/>
        <w:jc w:val="center"/>
        <w:rPr>
          <w:rFonts w:ascii="Calibri" w:eastAsia="Times New Roman" w:hAnsi="Calibri" w:cs="Times New Roman"/>
          <w:b/>
          <w:color w:val="03A0CD"/>
          <w:sz w:val="24"/>
          <w:szCs w:val="24"/>
          <w:lang w:val="en-GB" w:eastAsia="es-ES_tradnl"/>
        </w:rPr>
      </w:pPr>
      <w:r>
        <w:rPr>
          <w:rFonts w:ascii="Calibri" w:eastAsia="Times New Roman" w:hAnsi="Calibri" w:cs="Times New Roman"/>
          <w:b/>
          <w:color w:val="03A0CD"/>
          <w:sz w:val="24"/>
          <w:szCs w:val="24"/>
          <w:lang w:val="en-GB" w:eastAsia="es-ES_tradnl"/>
        </w:rPr>
        <w:t xml:space="preserve">(Rue </w:t>
      </w:r>
      <w:proofErr w:type="spellStart"/>
      <w:r>
        <w:rPr>
          <w:rFonts w:ascii="Calibri" w:eastAsia="Times New Roman" w:hAnsi="Calibri" w:cs="Times New Roman"/>
          <w:b/>
          <w:color w:val="03A0CD"/>
          <w:sz w:val="24"/>
          <w:szCs w:val="24"/>
          <w:lang w:val="en-GB" w:eastAsia="es-ES_tradnl"/>
        </w:rPr>
        <w:t>Demot</w:t>
      </w:r>
      <w:proofErr w:type="spellEnd"/>
      <w:r>
        <w:rPr>
          <w:rFonts w:ascii="Calibri" w:eastAsia="Times New Roman" w:hAnsi="Calibri" w:cs="Times New Roman"/>
          <w:b/>
          <w:color w:val="03A0CD"/>
          <w:sz w:val="24"/>
          <w:szCs w:val="24"/>
          <w:lang w:val="en-GB" w:eastAsia="es-ES_tradnl"/>
        </w:rPr>
        <w:t xml:space="preserve"> 24, near Rue </w:t>
      </w:r>
      <w:proofErr w:type="spellStart"/>
      <w:r>
        <w:rPr>
          <w:rFonts w:ascii="Calibri" w:eastAsia="Times New Roman" w:hAnsi="Calibri" w:cs="Times New Roman"/>
          <w:b/>
          <w:color w:val="03A0CD"/>
          <w:sz w:val="24"/>
          <w:szCs w:val="24"/>
          <w:lang w:val="en-GB" w:eastAsia="es-ES_tradnl"/>
        </w:rPr>
        <w:t>Belliard</w:t>
      </w:r>
      <w:proofErr w:type="spellEnd"/>
      <w:r>
        <w:rPr>
          <w:rFonts w:ascii="Calibri" w:eastAsia="Times New Roman" w:hAnsi="Calibri" w:cs="Times New Roman"/>
          <w:b/>
          <w:color w:val="03A0CD"/>
          <w:sz w:val="24"/>
          <w:szCs w:val="24"/>
          <w:lang w:val="en-GB" w:eastAsia="es-ES_tradnl"/>
        </w:rPr>
        <w:t>)</w:t>
      </w:r>
    </w:p>
    <w:bookmarkEnd w:id="0"/>
    <w:p w:rsidR="00FB226F" w:rsidRPr="004672A7" w:rsidRDefault="00FB226F" w:rsidP="004672A7">
      <w:pPr>
        <w:spacing w:after="0" w:line="312" w:lineRule="auto"/>
        <w:jc w:val="both"/>
        <w:rPr>
          <w:rFonts w:ascii="Calibri" w:eastAsia="Times New Roman" w:hAnsi="Calibri" w:cs="Times New Roman"/>
          <w:szCs w:val="20"/>
          <w:lang w:val="en-GB" w:eastAsia="es-ES_tradnl"/>
        </w:rPr>
      </w:pPr>
    </w:p>
    <w:p w:rsidR="00FB226F" w:rsidRDefault="004672A7" w:rsidP="00697366">
      <w:pPr>
        <w:rPr>
          <w:rFonts w:ascii="Calibri" w:hAnsi="Calibri"/>
          <w:b/>
          <w:color w:val="0073AE"/>
          <w:sz w:val="32"/>
          <w:szCs w:val="32"/>
          <w:lang w:val="en-GB"/>
        </w:rPr>
      </w:pPr>
      <w:r>
        <w:rPr>
          <w:rFonts w:ascii="Calibri" w:hAnsi="Calibri"/>
          <w:lang w:val="en-GB"/>
        </w:rPr>
        <w:br w:type="page"/>
      </w:r>
      <w:r w:rsidR="00104EDE">
        <w:rPr>
          <w:rFonts w:ascii="Calibri" w:hAnsi="Calibri"/>
          <w:b/>
          <w:color w:val="0073AE"/>
          <w:sz w:val="32"/>
          <w:szCs w:val="32"/>
          <w:lang w:val="en-GB"/>
        </w:rPr>
        <w:lastRenderedPageBreak/>
        <w:t>Background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3AE"/>
        <w:tblCellMar>
          <w:top w:w="85" w:type="dxa"/>
          <w:left w:w="85" w:type="dxa"/>
          <w:bottom w:w="85" w:type="dxa"/>
          <w:right w:w="85" w:type="dxa"/>
        </w:tblCellMar>
        <w:tblLook w:val="04A0" w:firstRow="1" w:lastRow="0" w:firstColumn="1" w:lastColumn="0" w:noHBand="0" w:noVBand="1"/>
      </w:tblPr>
      <w:tblGrid>
        <w:gridCol w:w="9360"/>
      </w:tblGrid>
      <w:tr w:rsidR="00FB226F" w:rsidRPr="00E113F5" w:rsidTr="00BB2FF0">
        <w:tc>
          <w:tcPr>
            <w:tcW w:w="9360" w:type="dxa"/>
            <w:shd w:val="clear" w:color="auto" w:fill="0073AE"/>
          </w:tcPr>
          <w:p w:rsidR="0018512D" w:rsidRPr="003B27A7" w:rsidRDefault="00BB2FF0" w:rsidP="0018512D">
            <w:pPr>
              <w:pStyle w:val="BodyText"/>
              <w:rPr>
                <w:rFonts w:cs="Arial"/>
                <w:color w:val="FFFFFF" w:themeColor="background1"/>
                <w:sz w:val="22"/>
              </w:rPr>
            </w:pPr>
            <w:r w:rsidRPr="003B27A7">
              <w:rPr>
                <w:rFonts w:cs="Arial"/>
                <w:color w:val="FFFFFF" w:themeColor="background1"/>
                <w:sz w:val="22"/>
              </w:rPr>
              <w:t>The EIP-SCC Action Cluster Sustainable Urban Mobility bring</w:t>
            </w:r>
            <w:r w:rsidR="0018512D" w:rsidRPr="003B27A7">
              <w:rPr>
                <w:rFonts w:cs="Arial"/>
                <w:color w:val="FFFFFF" w:themeColor="background1"/>
                <w:sz w:val="22"/>
              </w:rPr>
              <w:t>s</w:t>
            </w:r>
            <w:r w:rsidRPr="003B27A7">
              <w:rPr>
                <w:rFonts w:cs="Arial"/>
                <w:color w:val="FFFFFF" w:themeColor="background1"/>
                <w:sz w:val="22"/>
              </w:rPr>
              <w:t xml:space="preserve"> together cities and regions with companies to showcase innovative mobility solutions and support their replication </w:t>
            </w:r>
            <w:r w:rsidR="0018512D" w:rsidRPr="003B27A7">
              <w:rPr>
                <w:rFonts w:cs="Arial"/>
                <w:color w:val="FFFFFF" w:themeColor="background1"/>
                <w:sz w:val="22"/>
              </w:rPr>
              <w:t xml:space="preserve">at scale in key market segments. It aims to become the leading platform for understanding (and documenting) city needs, bringing stakeholders together, building the tools that support an innovation pipeline, and directly supporting individual networks and projects that are </w:t>
            </w:r>
            <w:proofErr w:type="spellStart"/>
            <w:r w:rsidR="0018512D" w:rsidRPr="003B27A7">
              <w:rPr>
                <w:rFonts w:cs="Arial"/>
                <w:i/>
                <w:color w:val="FFFFFF" w:themeColor="background1"/>
                <w:sz w:val="22"/>
              </w:rPr>
              <w:t>en</w:t>
            </w:r>
            <w:proofErr w:type="spellEnd"/>
            <w:r w:rsidR="0018512D" w:rsidRPr="003B27A7">
              <w:rPr>
                <w:rFonts w:cs="Arial"/>
                <w:i/>
                <w:color w:val="FFFFFF" w:themeColor="background1"/>
                <w:sz w:val="22"/>
              </w:rPr>
              <w:t>-route</w:t>
            </w:r>
            <w:r w:rsidR="0018512D" w:rsidRPr="003B27A7">
              <w:rPr>
                <w:rFonts w:cs="Arial"/>
                <w:color w:val="FFFFFF" w:themeColor="background1"/>
                <w:sz w:val="22"/>
              </w:rPr>
              <w:t xml:space="preserve"> to realisation.</w:t>
            </w:r>
          </w:p>
          <w:p w:rsidR="003B27A7" w:rsidRPr="003B27A7" w:rsidRDefault="003B27A7" w:rsidP="003B27A7">
            <w:pPr>
              <w:pStyle w:val="BodyText"/>
              <w:rPr>
                <w:rFonts w:cstheme="minorHAnsi"/>
                <w:color w:val="FFFFFF" w:themeColor="background1"/>
                <w:sz w:val="22"/>
              </w:rPr>
            </w:pPr>
            <w:r w:rsidRPr="003B27A7">
              <w:rPr>
                <w:rFonts w:cstheme="minorHAnsi"/>
                <w:color w:val="FFFFFF" w:themeColor="background1"/>
                <w:sz w:val="22"/>
              </w:rPr>
              <w:t xml:space="preserve">It focuses on five Initiatives: </w:t>
            </w:r>
          </w:p>
          <w:p w:rsidR="003B27A7" w:rsidRPr="003B27A7" w:rsidRDefault="003B27A7" w:rsidP="003B27A7">
            <w:pPr>
              <w:pStyle w:val="ListParagraph"/>
              <w:numPr>
                <w:ilvl w:val="0"/>
                <w:numId w:val="9"/>
              </w:numPr>
              <w:spacing w:before="100" w:beforeAutospacing="1" w:after="100" w:afterAutospacing="1"/>
              <w:rPr>
                <w:rFonts w:eastAsia="Times New Roman" w:cstheme="minorHAnsi"/>
                <w:color w:val="FFFFFF" w:themeColor="background1"/>
                <w:sz w:val="22"/>
                <w:lang w:val="en-GB" w:eastAsia="en-GB"/>
              </w:rPr>
            </w:pPr>
            <w:r w:rsidRPr="003B27A7">
              <w:rPr>
                <w:rFonts w:eastAsia="Times New Roman" w:cstheme="minorHAnsi"/>
                <w:b/>
                <w:color w:val="FFFFFF" w:themeColor="background1"/>
                <w:sz w:val="22"/>
                <w:lang w:val="en-GB" w:eastAsia="en-GB"/>
              </w:rPr>
              <w:t>E-Vehicles for Smart Cities and Communities (EV4SCC)</w:t>
            </w:r>
            <w:r w:rsidRPr="003B27A7">
              <w:rPr>
                <w:rFonts w:eastAsia="Times New Roman" w:cstheme="minorHAnsi"/>
                <w:color w:val="FFFFFF" w:themeColor="background1"/>
                <w:sz w:val="22"/>
                <w:lang w:val="en-GB" w:eastAsia="en-GB"/>
              </w:rPr>
              <w:t xml:space="preserve"> – lead by </w:t>
            </w:r>
            <w:hyperlink r:id="rId8" w:history="1">
              <w:r w:rsidRPr="003B27A7">
                <w:rPr>
                  <w:rStyle w:val="Hyperlink"/>
                  <w:rFonts w:eastAsia="Times New Roman" w:cstheme="minorHAnsi"/>
                  <w:color w:val="FFFFFF" w:themeColor="background1"/>
                  <w:sz w:val="22"/>
                  <w:lang w:val="en-GB" w:eastAsia="en-GB"/>
                </w:rPr>
                <w:t>Urban Foresight</w:t>
              </w:r>
            </w:hyperlink>
            <w:r w:rsidRPr="003B27A7">
              <w:rPr>
                <w:rFonts w:eastAsia="Times New Roman" w:cstheme="minorHAnsi"/>
                <w:color w:val="FFFFFF" w:themeColor="background1"/>
                <w:sz w:val="22"/>
                <w:lang w:val="en-GB" w:eastAsia="en-GB"/>
              </w:rPr>
              <w:t>, it aims to became the biggest platform of Electric Mobility in the World;</w:t>
            </w:r>
          </w:p>
          <w:p w:rsidR="003B27A7" w:rsidRPr="003B27A7" w:rsidRDefault="003B27A7" w:rsidP="003B27A7">
            <w:pPr>
              <w:pStyle w:val="ListParagraph"/>
              <w:numPr>
                <w:ilvl w:val="0"/>
                <w:numId w:val="9"/>
              </w:numPr>
              <w:spacing w:before="100" w:beforeAutospacing="1" w:after="100" w:afterAutospacing="1"/>
              <w:rPr>
                <w:rFonts w:eastAsia="Times New Roman" w:cstheme="minorHAnsi"/>
                <w:color w:val="FFFFFF" w:themeColor="background1"/>
                <w:sz w:val="22"/>
                <w:lang w:val="en-GB" w:eastAsia="en-GB"/>
              </w:rPr>
            </w:pPr>
            <w:r w:rsidRPr="003B27A7">
              <w:rPr>
                <w:rFonts w:eastAsia="Times New Roman" w:cstheme="minorHAnsi"/>
                <w:b/>
                <w:color w:val="FFFFFF" w:themeColor="background1"/>
                <w:sz w:val="22"/>
                <w:lang w:val="en-GB" w:eastAsia="en-GB"/>
              </w:rPr>
              <w:t>New Mobility Services (NMS)</w:t>
            </w:r>
            <w:r w:rsidRPr="003B27A7">
              <w:rPr>
                <w:rFonts w:eastAsia="Times New Roman" w:cstheme="minorHAnsi"/>
                <w:color w:val="FFFFFF" w:themeColor="background1"/>
                <w:sz w:val="22"/>
                <w:lang w:val="en-GB" w:eastAsia="en-GB"/>
              </w:rPr>
              <w:t xml:space="preserve"> – lead by the </w:t>
            </w:r>
            <w:hyperlink r:id="rId9" w:history="1">
              <w:r w:rsidRPr="003B27A7">
                <w:rPr>
                  <w:rStyle w:val="Hyperlink"/>
                  <w:rFonts w:eastAsia="Times New Roman" w:cstheme="minorHAnsi"/>
                  <w:color w:val="FFFFFF" w:themeColor="background1"/>
                  <w:sz w:val="22"/>
                  <w:lang w:val="en-GB" w:eastAsia="en-GB"/>
                </w:rPr>
                <w:t>Province of Noord-Brabant</w:t>
              </w:r>
            </w:hyperlink>
            <w:r w:rsidRPr="003B27A7">
              <w:rPr>
                <w:rStyle w:val="Hyperlink"/>
                <w:rFonts w:eastAsia="Times New Roman" w:cstheme="minorHAnsi"/>
                <w:color w:val="FFFFFF" w:themeColor="background1"/>
                <w:sz w:val="22"/>
                <w:lang w:val="en-GB" w:eastAsia="en-GB"/>
              </w:rPr>
              <w:t xml:space="preserve">/ </w:t>
            </w:r>
            <w:proofErr w:type="spellStart"/>
            <w:r w:rsidRPr="003B27A7">
              <w:rPr>
                <w:rStyle w:val="Hyperlink"/>
                <w:rFonts w:eastAsia="Times New Roman" w:cstheme="minorHAnsi"/>
                <w:color w:val="FFFFFF" w:themeColor="background1"/>
                <w:sz w:val="22"/>
                <w:lang w:val="en-GB" w:eastAsia="en-GB"/>
              </w:rPr>
              <w:t>Brabanstad</w:t>
            </w:r>
            <w:proofErr w:type="spellEnd"/>
            <w:r w:rsidRPr="003B27A7">
              <w:rPr>
                <w:rFonts w:eastAsia="Times New Roman" w:cstheme="minorHAnsi"/>
                <w:color w:val="FFFFFF" w:themeColor="background1"/>
                <w:sz w:val="22"/>
                <w:lang w:val="en-GB" w:eastAsia="en-GB"/>
              </w:rPr>
              <w:t>, it aims to build a common ground for New Mobility Services, supporting service replication and cooperation between cities and private sector;</w:t>
            </w:r>
          </w:p>
          <w:p w:rsidR="003B27A7" w:rsidRPr="003B27A7" w:rsidRDefault="003B27A7" w:rsidP="003B27A7">
            <w:pPr>
              <w:pStyle w:val="ListParagraph"/>
              <w:numPr>
                <w:ilvl w:val="0"/>
                <w:numId w:val="9"/>
              </w:numPr>
              <w:spacing w:before="100" w:beforeAutospacing="1" w:after="100" w:afterAutospacing="1"/>
              <w:rPr>
                <w:rFonts w:eastAsia="Times New Roman" w:cstheme="minorHAnsi"/>
                <w:color w:val="FFFFFF" w:themeColor="background1"/>
                <w:sz w:val="22"/>
                <w:lang w:val="en-GB" w:eastAsia="en-GB"/>
              </w:rPr>
            </w:pPr>
            <w:r w:rsidRPr="003B27A7">
              <w:rPr>
                <w:rFonts w:eastAsia="Times New Roman" w:cstheme="minorHAnsi"/>
                <w:b/>
                <w:color w:val="FFFFFF" w:themeColor="background1"/>
                <w:sz w:val="22"/>
                <w:lang w:val="en-GB" w:eastAsia="en-GB"/>
              </w:rPr>
              <w:t>Intelligent Mobility For Energy Transition (IMET)</w:t>
            </w:r>
            <w:r w:rsidRPr="003B27A7">
              <w:rPr>
                <w:rFonts w:eastAsia="Times New Roman" w:cstheme="minorHAnsi"/>
                <w:color w:val="FFFFFF" w:themeColor="background1"/>
                <w:sz w:val="22"/>
                <w:lang w:val="en-GB" w:eastAsia="en-GB"/>
              </w:rPr>
              <w:t xml:space="preserve"> – lead by </w:t>
            </w:r>
            <w:hyperlink r:id="rId10" w:history="1">
              <w:r w:rsidRPr="003B27A7">
                <w:rPr>
                  <w:rStyle w:val="Hyperlink"/>
                  <w:rFonts w:eastAsia="Times New Roman" w:cstheme="minorHAnsi"/>
                  <w:color w:val="FFFFFF" w:themeColor="background1"/>
                  <w:sz w:val="22"/>
                  <w:lang w:val="en-GB" w:eastAsia="en-GB"/>
                </w:rPr>
                <w:t>Nissan</w:t>
              </w:r>
            </w:hyperlink>
            <w:r w:rsidRPr="003B27A7">
              <w:rPr>
                <w:rFonts w:eastAsia="Times New Roman" w:cstheme="minorHAnsi"/>
                <w:color w:val="FFFFFF" w:themeColor="background1"/>
                <w:sz w:val="22"/>
                <w:lang w:val="en-GB" w:eastAsia="en-GB"/>
              </w:rPr>
              <w:t>, it aims to create a mechanism for the development of sustainable energy models through e-mobility solutions as an innovative product for the development of smart cities;</w:t>
            </w:r>
          </w:p>
          <w:p w:rsidR="003B27A7" w:rsidRPr="003B27A7" w:rsidRDefault="003B27A7" w:rsidP="003B27A7">
            <w:pPr>
              <w:pStyle w:val="ListParagraph"/>
              <w:numPr>
                <w:ilvl w:val="0"/>
                <w:numId w:val="9"/>
              </w:numPr>
              <w:spacing w:before="100" w:beforeAutospacing="1" w:after="100" w:afterAutospacing="1"/>
              <w:rPr>
                <w:rFonts w:eastAsia="Times New Roman" w:cstheme="minorHAnsi"/>
                <w:color w:val="FFFFFF" w:themeColor="background1"/>
                <w:sz w:val="22"/>
                <w:lang w:val="en-GB" w:eastAsia="en-GB"/>
              </w:rPr>
            </w:pPr>
            <w:r w:rsidRPr="003B27A7">
              <w:rPr>
                <w:rFonts w:eastAsia="Times New Roman" w:cstheme="minorHAnsi"/>
                <w:b/>
                <w:color w:val="FFFFFF" w:themeColor="background1"/>
                <w:sz w:val="22"/>
                <w:lang w:val="en-GB" w:eastAsia="en-GB"/>
              </w:rPr>
              <w:t>Urban Air Mobility (UAM)</w:t>
            </w:r>
            <w:r w:rsidRPr="003B27A7">
              <w:rPr>
                <w:rFonts w:eastAsia="Times New Roman" w:cstheme="minorHAnsi"/>
                <w:color w:val="FFFFFF" w:themeColor="background1"/>
                <w:sz w:val="22"/>
                <w:lang w:val="en-GB" w:eastAsia="en-GB"/>
              </w:rPr>
              <w:t xml:space="preserve"> – lead by </w:t>
            </w:r>
            <w:hyperlink r:id="rId11" w:history="1">
              <w:r w:rsidRPr="003B27A7">
                <w:rPr>
                  <w:rStyle w:val="Hyperlink"/>
                  <w:rFonts w:eastAsia="Times New Roman" w:cstheme="minorHAnsi"/>
                  <w:color w:val="FFFFFF" w:themeColor="background1"/>
                  <w:sz w:val="22"/>
                  <w:lang w:val="en-GB" w:eastAsia="en-GB"/>
                </w:rPr>
                <w:t>Airbus</w:t>
              </w:r>
            </w:hyperlink>
            <w:r w:rsidRPr="003B27A7">
              <w:rPr>
                <w:rFonts w:eastAsia="Times New Roman" w:cstheme="minorHAnsi"/>
                <w:color w:val="FFFFFF" w:themeColor="background1"/>
                <w:sz w:val="22"/>
                <w:lang w:val="en-GB" w:eastAsia="en-GB"/>
              </w:rPr>
              <w:t>, it aims to contribute to the enablement of urban mobility into the third dimension – the air – by offering a forum to the community to jointly work towards the definition of a deployment strategy and roadmap for the next generation of urban mobility featuring the air dimension;</w:t>
            </w:r>
          </w:p>
          <w:p w:rsidR="003B27A7" w:rsidRPr="003B27A7" w:rsidRDefault="003B27A7" w:rsidP="003B27A7">
            <w:pPr>
              <w:pStyle w:val="ListParagraph"/>
              <w:numPr>
                <w:ilvl w:val="0"/>
                <w:numId w:val="9"/>
              </w:numPr>
              <w:spacing w:before="100" w:beforeAutospacing="1" w:after="100" w:afterAutospacing="1"/>
              <w:rPr>
                <w:rFonts w:eastAsia="Times New Roman" w:cstheme="minorHAnsi"/>
                <w:color w:val="FFFFFF" w:themeColor="background1"/>
                <w:sz w:val="22"/>
                <w:lang w:val="en-GB" w:eastAsia="en-GB"/>
              </w:rPr>
            </w:pPr>
            <w:r w:rsidRPr="003B27A7">
              <w:rPr>
                <w:rFonts w:eastAsia="Times New Roman" w:cstheme="minorHAnsi"/>
                <w:b/>
                <w:color w:val="FFFFFF" w:themeColor="background1"/>
                <w:sz w:val="22"/>
                <w:lang w:val="en-GB" w:eastAsia="en-GB"/>
              </w:rPr>
              <w:t>Alternative Fuels Special Vehicles (AFSV)</w:t>
            </w:r>
            <w:r w:rsidRPr="003B27A7">
              <w:rPr>
                <w:rFonts w:eastAsia="Times New Roman" w:cstheme="minorHAnsi"/>
                <w:color w:val="FFFFFF" w:themeColor="background1"/>
                <w:sz w:val="22"/>
                <w:lang w:val="en-GB" w:eastAsia="en-GB"/>
              </w:rPr>
              <w:t xml:space="preserve"> – lead by </w:t>
            </w:r>
            <w:hyperlink r:id="rId12" w:history="1">
              <w:proofErr w:type="spellStart"/>
              <w:r w:rsidRPr="003B27A7">
                <w:rPr>
                  <w:rStyle w:val="Hyperlink"/>
                  <w:rFonts w:eastAsia="Times New Roman" w:cstheme="minorHAnsi"/>
                  <w:color w:val="FFFFFF" w:themeColor="background1"/>
                  <w:sz w:val="22"/>
                  <w:lang w:val="en-GB" w:eastAsia="en-GB"/>
                </w:rPr>
                <w:t>Aebi</w:t>
              </w:r>
              <w:proofErr w:type="spellEnd"/>
              <w:r w:rsidRPr="003B27A7">
                <w:rPr>
                  <w:rStyle w:val="Hyperlink"/>
                  <w:rFonts w:eastAsia="Times New Roman" w:cstheme="minorHAnsi"/>
                  <w:color w:val="FFFFFF" w:themeColor="background1"/>
                  <w:sz w:val="22"/>
                  <w:lang w:val="en-GB" w:eastAsia="en-GB"/>
                </w:rPr>
                <w:t>-Schmidt</w:t>
              </w:r>
            </w:hyperlink>
            <w:r w:rsidRPr="003B27A7">
              <w:rPr>
                <w:rFonts w:eastAsia="Times New Roman" w:cstheme="minorHAnsi"/>
                <w:color w:val="FFFFFF" w:themeColor="background1"/>
                <w:sz w:val="22"/>
                <w:lang w:val="en-GB" w:eastAsia="en-GB"/>
              </w:rPr>
              <w:t xml:space="preserve">, it aims to create a guideline that draws on the very latest and most appropriate technologies to recommend to cities to help steer a clear path in order to achieve the zero emission target in the field of special vehicles. </w:t>
            </w:r>
          </w:p>
          <w:p w:rsidR="005626E1" w:rsidRPr="00D13819" w:rsidRDefault="003B27A7" w:rsidP="001A3E7C">
            <w:pPr>
              <w:pStyle w:val="BodyText"/>
              <w:rPr>
                <w:rFonts w:asciiTheme="minorHAnsi" w:hAnsiTheme="minorHAnsi" w:cs="Arial"/>
                <w:color w:val="FFFFFF" w:themeColor="background1"/>
                <w:sz w:val="22"/>
              </w:rPr>
            </w:pPr>
            <w:r w:rsidRPr="003B27A7">
              <w:rPr>
                <w:rFonts w:cstheme="minorHAnsi"/>
                <w:color w:val="FFFFFF" w:themeColor="background1"/>
                <w:sz w:val="22"/>
              </w:rPr>
              <w:t xml:space="preserve">In addition, the European Commission has hired the services of </w:t>
            </w:r>
            <w:r w:rsidRPr="003B27A7">
              <w:rPr>
                <w:rFonts w:cstheme="minorHAnsi"/>
                <w:b/>
                <w:color w:val="FFFFFF" w:themeColor="background1"/>
                <w:sz w:val="22"/>
              </w:rPr>
              <w:t>JIIP/The Extremely Useful Company</w:t>
            </w:r>
            <w:r w:rsidRPr="003B27A7">
              <w:rPr>
                <w:rFonts w:cstheme="minorHAnsi"/>
                <w:color w:val="FFFFFF" w:themeColor="background1"/>
                <w:sz w:val="22"/>
              </w:rPr>
              <w:t xml:space="preserve"> who can help practitioners to assess the investment readiness of up to 20 projects, identify investment opportunities and connect the project partners with investors and financiers. Together, these actions form the Action Cluster Sustainable Mobility of the European Innovation Partnership in Smart cities. Other Action Clusters deal with energy, ICT and cross-cutting issues.</w:t>
            </w:r>
          </w:p>
        </w:tc>
      </w:tr>
    </w:tbl>
    <w:p w:rsidR="003B27A7" w:rsidRDefault="003B27A7" w:rsidP="00FB226F">
      <w:pPr>
        <w:spacing w:line="240" w:lineRule="auto"/>
        <w:rPr>
          <w:rFonts w:ascii="Calibri" w:hAnsi="Calibri"/>
          <w:b/>
          <w:color w:val="0073AE"/>
          <w:sz w:val="32"/>
          <w:szCs w:val="32"/>
          <w:lang w:val="en-GB"/>
        </w:rPr>
      </w:pPr>
    </w:p>
    <w:p w:rsidR="00FB226F" w:rsidRDefault="00BB2FF0" w:rsidP="00FB226F">
      <w:pPr>
        <w:spacing w:line="240" w:lineRule="auto"/>
        <w:rPr>
          <w:rFonts w:ascii="Calibri" w:hAnsi="Calibri"/>
          <w:b/>
          <w:color w:val="0073AE"/>
          <w:sz w:val="32"/>
          <w:szCs w:val="32"/>
          <w:lang w:val="en-GB"/>
        </w:rPr>
      </w:pPr>
      <w:r>
        <w:rPr>
          <w:rFonts w:ascii="Calibri" w:hAnsi="Calibri"/>
          <w:b/>
          <w:color w:val="0073AE"/>
          <w:sz w:val="32"/>
          <w:szCs w:val="32"/>
          <w:lang w:val="en-GB"/>
        </w:rPr>
        <w:t>O</w:t>
      </w:r>
      <w:r w:rsidR="00FB226F" w:rsidRPr="00BB2FF0">
        <w:rPr>
          <w:rFonts w:ascii="Calibri" w:hAnsi="Calibri"/>
          <w:b/>
          <w:color w:val="0073AE"/>
          <w:sz w:val="32"/>
          <w:szCs w:val="32"/>
          <w:lang w:val="en-GB"/>
        </w:rPr>
        <w:t>bjectives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85" w:type="dxa"/>
          <w:bottom w:w="85" w:type="dxa"/>
          <w:right w:w="85" w:type="dxa"/>
        </w:tblCellMar>
        <w:tblLook w:val="04A0" w:firstRow="1" w:lastRow="0" w:firstColumn="1" w:lastColumn="0" w:noHBand="0" w:noVBand="1"/>
      </w:tblPr>
      <w:tblGrid>
        <w:gridCol w:w="9360"/>
      </w:tblGrid>
      <w:tr w:rsidR="00FB226F" w:rsidRPr="00E113F5" w:rsidTr="00BB2FF0">
        <w:tc>
          <w:tcPr>
            <w:tcW w:w="9360" w:type="dxa"/>
            <w:shd w:val="clear" w:color="auto" w:fill="00AEEF"/>
          </w:tcPr>
          <w:p w:rsidR="00C43647" w:rsidRPr="00E81E45" w:rsidRDefault="00104EDE" w:rsidP="0018512D">
            <w:pPr>
              <w:pStyle w:val="BodyText"/>
              <w:numPr>
                <w:ilvl w:val="0"/>
                <w:numId w:val="4"/>
              </w:numPr>
              <w:rPr>
                <w:rFonts w:asciiTheme="minorHAnsi" w:hAnsiTheme="minorHAnsi" w:cs="Arial"/>
                <w:color w:val="FFFFFF" w:themeColor="background1"/>
                <w:sz w:val="22"/>
              </w:rPr>
            </w:pPr>
            <w:r w:rsidRPr="00E81E45">
              <w:rPr>
                <w:rFonts w:asciiTheme="minorHAnsi" w:hAnsiTheme="minorHAnsi" w:cs="Arial"/>
                <w:color w:val="FFFFFF" w:themeColor="background1"/>
                <w:sz w:val="22"/>
              </w:rPr>
              <w:t>Getting to know each other</w:t>
            </w:r>
          </w:p>
          <w:p w:rsidR="00C43647" w:rsidRPr="00E81E45" w:rsidRDefault="005626E1" w:rsidP="0018512D">
            <w:pPr>
              <w:pStyle w:val="BodyText"/>
              <w:numPr>
                <w:ilvl w:val="0"/>
                <w:numId w:val="4"/>
              </w:numPr>
              <w:rPr>
                <w:rFonts w:asciiTheme="minorHAnsi" w:hAnsiTheme="minorHAnsi" w:cs="Arial"/>
                <w:color w:val="FFFFFF" w:themeColor="background1"/>
                <w:sz w:val="22"/>
              </w:rPr>
            </w:pPr>
            <w:r>
              <w:rPr>
                <w:rFonts w:asciiTheme="minorHAnsi" w:hAnsiTheme="minorHAnsi" w:cs="Arial"/>
                <w:color w:val="FFFFFF" w:themeColor="background1"/>
                <w:sz w:val="22"/>
              </w:rPr>
              <w:t>Present the state of play in</w:t>
            </w:r>
            <w:r w:rsidR="00C43647" w:rsidRPr="00E81E45">
              <w:rPr>
                <w:rFonts w:asciiTheme="minorHAnsi" w:hAnsiTheme="minorHAnsi" w:cs="Arial"/>
                <w:color w:val="FFFFFF" w:themeColor="background1"/>
                <w:sz w:val="22"/>
              </w:rPr>
              <w:t xml:space="preserve"> </w:t>
            </w:r>
            <w:r w:rsidR="00E81E45" w:rsidRPr="00E81E45">
              <w:rPr>
                <w:rFonts w:asciiTheme="minorHAnsi" w:hAnsiTheme="minorHAnsi" w:cs="Arial"/>
                <w:color w:val="FFFFFF" w:themeColor="background1"/>
                <w:sz w:val="22"/>
              </w:rPr>
              <w:t xml:space="preserve">SUM AC </w:t>
            </w:r>
            <w:r w:rsidR="00C43647" w:rsidRPr="00E81E45">
              <w:rPr>
                <w:rFonts w:asciiTheme="minorHAnsi" w:hAnsiTheme="minorHAnsi" w:cs="Arial"/>
                <w:color w:val="FFFFFF" w:themeColor="background1"/>
                <w:sz w:val="22"/>
              </w:rPr>
              <w:t>initiatives</w:t>
            </w:r>
          </w:p>
          <w:p w:rsidR="00BB2FF0" w:rsidRPr="00E81E45" w:rsidRDefault="00697366" w:rsidP="0018512D">
            <w:pPr>
              <w:pStyle w:val="BodyText"/>
              <w:numPr>
                <w:ilvl w:val="0"/>
                <w:numId w:val="4"/>
              </w:numPr>
              <w:rPr>
                <w:rFonts w:asciiTheme="minorHAnsi" w:hAnsiTheme="minorHAnsi" w:cs="Arial"/>
                <w:color w:val="FFFFFF" w:themeColor="background1"/>
                <w:sz w:val="22"/>
              </w:rPr>
            </w:pPr>
            <w:r w:rsidRPr="00E81E45">
              <w:rPr>
                <w:rFonts w:asciiTheme="minorHAnsi" w:hAnsiTheme="minorHAnsi" w:cs="Arial"/>
                <w:color w:val="FFFFFF" w:themeColor="background1"/>
                <w:sz w:val="22"/>
              </w:rPr>
              <w:t>Introduc</w:t>
            </w:r>
            <w:r w:rsidR="0018512D" w:rsidRPr="00E81E45">
              <w:rPr>
                <w:rFonts w:asciiTheme="minorHAnsi" w:hAnsiTheme="minorHAnsi" w:cs="Arial"/>
                <w:color w:val="FFFFFF" w:themeColor="background1"/>
                <w:sz w:val="22"/>
              </w:rPr>
              <w:t>e</w:t>
            </w:r>
            <w:r w:rsidRPr="00E81E45">
              <w:rPr>
                <w:rFonts w:asciiTheme="minorHAnsi" w:hAnsiTheme="minorHAnsi" w:cs="Arial"/>
                <w:color w:val="FFFFFF" w:themeColor="background1"/>
                <w:sz w:val="22"/>
              </w:rPr>
              <w:t xml:space="preserve"> </w:t>
            </w:r>
            <w:r w:rsidR="0018512D" w:rsidRPr="00E81E45">
              <w:rPr>
                <w:rFonts w:asciiTheme="minorHAnsi" w:hAnsiTheme="minorHAnsi" w:cs="Arial"/>
                <w:color w:val="FFFFFF" w:themeColor="background1"/>
                <w:sz w:val="22"/>
              </w:rPr>
              <w:t>the</w:t>
            </w:r>
            <w:r w:rsidRPr="00E81E45">
              <w:rPr>
                <w:rFonts w:asciiTheme="minorHAnsi" w:hAnsiTheme="minorHAnsi" w:cs="Arial"/>
                <w:color w:val="FFFFFF" w:themeColor="background1"/>
                <w:sz w:val="22"/>
              </w:rPr>
              <w:t xml:space="preserve"> </w:t>
            </w:r>
            <w:r w:rsidR="00E81E45" w:rsidRPr="00E81E45">
              <w:rPr>
                <w:rFonts w:asciiTheme="minorHAnsi" w:hAnsiTheme="minorHAnsi" w:cs="Arial"/>
                <w:color w:val="FFFFFF" w:themeColor="background1"/>
                <w:sz w:val="22"/>
              </w:rPr>
              <w:t>EIP-</w:t>
            </w:r>
            <w:r w:rsidRPr="00E81E45">
              <w:rPr>
                <w:rFonts w:asciiTheme="minorHAnsi" w:hAnsiTheme="minorHAnsi" w:cs="Arial"/>
                <w:color w:val="FFFFFF" w:themeColor="background1"/>
                <w:sz w:val="22"/>
              </w:rPr>
              <w:t>SCC SUM support contract</w:t>
            </w:r>
          </w:p>
          <w:p w:rsidR="00FB226F" w:rsidRPr="003B27A7" w:rsidRDefault="00A531E3" w:rsidP="003B27A7">
            <w:pPr>
              <w:pStyle w:val="BodyText"/>
              <w:numPr>
                <w:ilvl w:val="0"/>
                <w:numId w:val="4"/>
              </w:numPr>
              <w:rPr>
                <w:rFonts w:asciiTheme="minorHAnsi" w:hAnsiTheme="minorHAnsi" w:cs="Arial"/>
                <w:b/>
                <w:color w:val="FFFFFF" w:themeColor="background1"/>
                <w:sz w:val="22"/>
              </w:rPr>
            </w:pPr>
            <w:r w:rsidRPr="00E81E45">
              <w:rPr>
                <w:rFonts w:asciiTheme="minorHAnsi" w:hAnsiTheme="minorHAnsi" w:cs="Arial"/>
                <w:color w:val="FFFFFF" w:themeColor="background1"/>
                <w:sz w:val="22"/>
              </w:rPr>
              <w:t xml:space="preserve">Build a SUM AC 2017-2018 </w:t>
            </w:r>
            <w:r w:rsidR="00D13819" w:rsidRPr="00E81E45">
              <w:rPr>
                <w:rFonts w:asciiTheme="minorHAnsi" w:hAnsiTheme="minorHAnsi" w:cs="Arial"/>
                <w:color w:val="FFFFFF" w:themeColor="background1"/>
                <w:sz w:val="22"/>
              </w:rPr>
              <w:t xml:space="preserve">(investment) </w:t>
            </w:r>
            <w:r w:rsidRPr="00E81E45">
              <w:rPr>
                <w:rFonts w:asciiTheme="minorHAnsi" w:hAnsiTheme="minorHAnsi" w:cs="Arial"/>
                <w:color w:val="FFFFFF" w:themeColor="background1"/>
                <w:sz w:val="22"/>
              </w:rPr>
              <w:t xml:space="preserve">Plan </w:t>
            </w:r>
          </w:p>
        </w:tc>
      </w:tr>
    </w:tbl>
    <w:p w:rsidR="00FB226F" w:rsidRPr="00FB226F" w:rsidRDefault="00FB226F" w:rsidP="00FB226F">
      <w:pPr>
        <w:spacing w:line="240" w:lineRule="auto"/>
        <w:rPr>
          <w:rFonts w:ascii="Calibri" w:hAnsi="Calibri"/>
          <w:b/>
          <w:color w:val="0073AE"/>
          <w:sz w:val="32"/>
          <w:szCs w:val="32"/>
          <w:lang w:val="en-GB"/>
        </w:rPr>
      </w:pPr>
    </w:p>
    <w:p w:rsidR="00FB226F" w:rsidRPr="00BB2FF0" w:rsidRDefault="00FB226F" w:rsidP="001C2D14">
      <w:pPr>
        <w:spacing w:after="0" w:line="240" w:lineRule="auto"/>
        <w:rPr>
          <w:rFonts w:ascii="Calibri" w:hAnsi="Calibri"/>
          <w:b/>
          <w:color w:val="0073AE"/>
          <w:sz w:val="32"/>
          <w:szCs w:val="32"/>
          <w:lang w:val="en-GB"/>
        </w:rPr>
      </w:pPr>
      <w:r w:rsidRPr="00BB2FF0">
        <w:rPr>
          <w:rFonts w:ascii="Calibri" w:hAnsi="Calibri"/>
          <w:b/>
          <w:color w:val="0073AE"/>
          <w:sz w:val="32"/>
          <w:szCs w:val="32"/>
          <w:lang w:val="en-GB"/>
        </w:rPr>
        <w:t>Agenda</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1672"/>
        <w:gridCol w:w="7962"/>
      </w:tblGrid>
      <w:tr w:rsidR="00BB2FF0" w:rsidRPr="00BB2FF0" w:rsidTr="001A3E7C">
        <w:trPr>
          <w:trHeight w:val="20"/>
        </w:trPr>
        <w:tc>
          <w:tcPr>
            <w:tcW w:w="1672" w:type="dxa"/>
            <w:shd w:val="clear" w:color="auto" w:fill="0073AE"/>
          </w:tcPr>
          <w:p w:rsidR="00BB2FF0" w:rsidRPr="00E15CC1" w:rsidRDefault="00697366" w:rsidP="001C2D14">
            <w:pPr>
              <w:jc w:val="center"/>
              <w:rPr>
                <w:rFonts w:asciiTheme="minorHAnsi" w:hAnsiTheme="minorHAnsi"/>
                <w:b/>
                <w:color w:val="FFFFFF" w:themeColor="background1"/>
              </w:rPr>
            </w:pPr>
            <w:r>
              <w:rPr>
                <w:rFonts w:asciiTheme="minorHAnsi" w:hAnsiTheme="minorHAnsi"/>
                <w:b/>
                <w:color w:val="FFFFFF" w:themeColor="background1"/>
              </w:rPr>
              <w:t>14</w:t>
            </w:r>
            <w:r w:rsidR="00BB2FF0" w:rsidRPr="00E15CC1">
              <w:rPr>
                <w:rFonts w:asciiTheme="minorHAnsi" w:hAnsiTheme="minorHAnsi"/>
                <w:b/>
                <w:color w:val="FFFFFF" w:themeColor="background1"/>
              </w:rPr>
              <w:t>:</w:t>
            </w:r>
            <w:r>
              <w:rPr>
                <w:rFonts w:asciiTheme="minorHAnsi" w:hAnsiTheme="minorHAnsi"/>
                <w:b/>
                <w:color w:val="FFFFFF" w:themeColor="background1"/>
              </w:rPr>
              <w:t>0</w:t>
            </w:r>
            <w:r w:rsidR="00BB2FF0" w:rsidRPr="00E15CC1">
              <w:rPr>
                <w:rFonts w:asciiTheme="minorHAnsi" w:hAnsiTheme="minorHAnsi"/>
                <w:b/>
                <w:color w:val="FFFFFF" w:themeColor="background1"/>
              </w:rPr>
              <w:t xml:space="preserve">0 – </w:t>
            </w:r>
            <w:r>
              <w:rPr>
                <w:rFonts w:asciiTheme="minorHAnsi" w:hAnsiTheme="minorHAnsi"/>
                <w:b/>
                <w:color w:val="FFFFFF" w:themeColor="background1"/>
              </w:rPr>
              <w:t>14:30</w:t>
            </w:r>
          </w:p>
        </w:tc>
        <w:tc>
          <w:tcPr>
            <w:tcW w:w="7962" w:type="dxa"/>
            <w:shd w:val="clear" w:color="auto" w:fill="auto"/>
          </w:tcPr>
          <w:p w:rsidR="00BB2FF0" w:rsidRPr="00BB2FF0" w:rsidRDefault="00BB2FF0" w:rsidP="001C2D14">
            <w:pPr>
              <w:rPr>
                <w:rFonts w:asciiTheme="minorHAnsi" w:hAnsiTheme="minorHAnsi"/>
                <w:b/>
                <w:color w:val="00AEEF"/>
                <w:lang w:val="en-GB"/>
              </w:rPr>
            </w:pPr>
            <w:r w:rsidRPr="00BB2FF0">
              <w:rPr>
                <w:rFonts w:asciiTheme="minorHAnsi" w:hAnsiTheme="minorHAnsi"/>
                <w:b/>
                <w:color w:val="00AEEF"/>
                <w:lang w:val="en-GB"/>
              </w:rPr>
              <w:t xml:space="preserve">Registration </w:t>
            </w:r>
            <w:r w:rsidR="00DF47C0">
              <w:rPr>
                <w:rFonts w:asciiTheme="minorHAnsi" w:hAnsiTheme="minorHAnsi"/>
                <w:b/>
                <w:color w:val="00AEEF"/>
                <w:lang w:val="en-GB"/>
              </w:rPr>
              <w:t>of participants</w:t>
            </w:r>
          </w:p>
        </w:tc>
      </w:tr>
      <w:tr w:rsidR="00BB2FF0" w:rsidRPr="00BB2FF0" w:rsidTr="00E113F5">
        <w:trPr>
          <w:trHeight w:val="25"/>
        </w:trPr>
        <w:tc>
          <w:tcPr>
            <w:tcW w:w="1672" w:type="dxa"/>
            <w:shd w:val="clear" w:color="auto" w:fill="FFFFFF" w:themeFill="background1"/>
          </w:tcPr>
          <w:p w:rsidR="00BB2FF0" w:rsidRPr="00E113F5" w:rsidRDefault="00BB2FF0" w:rsidP="001C2D14">
            <w:pPr>
              <w:jc w:val="center"/>
              <w:rPr>
                <w:rFonts w:asciiTheme="minorHAnsi" w:hAnsiTheme="minorHAnsi"/>
                <w:b/>
                <w:color w:val="FFFFFF" w:themeColor="background1"/>
                <w:sz w:val="8"/>
                <w:lang w:val="en-GB"/>
              </w:rPr>
            </w:pPr>
          </w:p>
        </w:tc>
        <w:tc>
          <w:tcPr>
            <w:tcW w:w="7962" w:type="dxa"/>
            <w:shd w:val="clear" w:color="auto" w:fill="auto"/>
          </w:tcPr>
          <w:p w:rsidR="00BB2FF0" w:rsidRPr="00E113F5" w:rsidRDefault="00BB2FF0" w:rsidP="001C2D14">
            <w:pPr>
              <w:rPr>
                <w:rFonts w:asciiTheme="minorHAnsi" w:hAnsiTheme="minorHAnsi"/>
                <w:i/>
                <w:sz w:val="8"/>
                <w:lang w:val="en-GB"/>
              </w:rPr>
            </w:pPr>
          </w:p>
        </w:tc>
      </w:tr>
      <w:tr w:rsidR="00BB2FF0" w:rsidRPr="00CC2710" w:rsidTr="001A3E7C">
        <w:trPr>
          <w:trHeight w:val="20"/>
        </w:trPr>
        <w:tc>
          <w:tcPr>
            <w:tcW w:w="1672" w:type="dxa"/>
            <w:vMerge w:val="restart"/>
            <w:shd w:val="clear" w:color="auto" w:fill="0073AE"/>
          </w:tcPr>
          <w:p w:rsidR="00BB2FF0" w:rsidRPr="00E15CC1" w:rsidRDefault="00697366" w:rsidP="001C2D14">
            <w:pPr>
              <w:jc w:val="center"/>
              <w:rPr>
                <w:rFonts w:asciiTheme="minorHAnsi" w:hAnsiTheme="minorHAnsi"/>
                <w:b/>
                <w:color w:val="FFFFFF" w:themeColor="background1"/>
              </w:rPr>
            </w:pPr>
            <w:r>
              <w:rPr>
                <w:rFonts w:asciiTheme="minorHAnsi" w:hAnsiTheme="minorHAnsi"/>
                <w:b/>
                <w:color w:val="FFFFFF" w:themeColor="background1"/>
              </w:rPr>
              <w:t>14</w:t>
            </w:r>
            <w:r w:rsidRPr="00E15CC1">
              <w:rPr>
                <w:rFonts w:asciiTheme="minorHAnsi" w:hAnsiTheme="minorHAnsi"/>
                <w:b/>
                <w:color w:val="FFFFFF" w:themeColor="background1"/>
              </w:rPr>
              <w:t>:</w:t>
            </w:r>
            <w:r>
              <w:rPr>
                <w:rFonts w:asciiTheme="minorHAnsi" w:hAnsiTheme="minorHAnsi"/>
                <w:b/>
                <w:color w:val="FFFFFF" w:themeColor="background1"/>
              </w:rPr>
              <w:t>3</w:t>
            </w:r>
            <w:r w:rsidRPr="00E15CC1">
              <w:rPr>
                <w:rFonts w:asciiTheme="minorHAnsi" w:hAnsiTheme="minorHAnsi"/>
                <w:b/>
                <w:color w:val="FFFFFF" w:themeColor="background1"/>
              </w:rPr>
              <w:t xml:space="preserve">0 – </w:t>
            </w:r>
            <w:r>
              <w:rPr>
                <w:rFonts w:asciiTheme="minorHAnsi" w:hAnsiTheme="minorHAnsi"/>
                <w:b/>
                <w:color w:val="FFFFFF" w:themeColor="background1"/>
              </w:rPr>
              <w:t>1</w:t>
            </w:r>
            <w:r w:rsidR="00CC2710">
              <w:rPr>
                <w:rFonts w:asciiTheme="minorHAnsi" w:hAnsiTheme="minorHAnsi"/>
                <w:b/>
                <w:color w:val="FFFFFF" w:themeColor="background1"/>
              </w:rPr>
              <w:t>4</w:t>
            </w:r>
            <w:r>
              <w:rPr>
                <w:rFonts w:asciiTheme="minorHAnsi" w:hAnsiTheme="minorHAnsi"/>
                <w:b/>
                <w:color w:val="FFFFFF" w:themeColor="background1"/>
              </w:rPr>
              <w:t>:</w:t>
            </w:r>
            <w:r w:rsidR="00CC2710">
              <w:rPr>
                <w:rFonts w:asciiTheme="minorHAnsi" w:hAnsiTheme="minorHAnsi"/>
                <w:b/>
                <w:color w:val="FFFFFF" w:themeColor="background1"/>
              </w:rPr>
              <w:t>45</w:t>
            </w:r>
          </w:p>
        </w:tc>
        <w:tc>
          <w:tcPr>
            <w:tcW w:w="7962" w:type="dxa"/>
            <w:shd w:val="clear" w:color="auto" w:fill="auto"/>
          </w:tcPr>
          <w:p w:rsidR="00BB2FF0" w:rsidRPr="00CC2710" w:rsidRDefault="00CC2710" w:rsidP="001C2D14">
            <w:pPr>
              <w:rPr>
                <w:rFonts w:asciiTheme="minorHAnsi" w:hAnsiTheme="minorHAnsi"/>
                <w:b/>
                <w:color w:val="00AEEF"/>
                <w:lang w:val="en-GB"/>
              </w:rPr>
            </w:pPr>
            <w:r w:rsidRPr="00CC2710">
              <w:rPr>
                <w:rFonts w:asciiTheme="minorHAnsi" w:hAnsiTheme="minorHAnsi"/>
                <w:b/>
                <w:color w:val="00AEEF"/>
                <w:lang w:val="en-GB"/>
              </w:rPr>
              <w:t>Introduction and objective</w:t>
            </w:r>
            <w:r w:rsidR="00C43647">
              <w:rPr>
                <w:rFonts w:asciiTheme="minorHAnsi" w:hAnsiTheme="minorHAnsi"/>
                <w:b/>
                <w:color w:val="00AEEF"/>
                <w:lang w:val="en-GB"/>
              </w:rPr>
              <w:t>s</w:t>
            </w:r>
          </w:p>
        </w:tc>
      </w:tr>
      <w:tr w:rsidR="00BB2FF0" w:rsidRPr="00E113F5" w:rsidTr="001A3E7C">
        <w:trPr>
          <w:trHeight w:val="20"/>
        </w:trPr>
        <w:tc>
          <w:tcPr>
            <w:tcW w:w="1672" w:type="dxa"/>
            <w:vMerge/>
            <w:shd w:val="clear" w:color="auto" w:fill="0073AE"/>
          </w:tcPr>
          <w:p w:rsidR="00BB2FF0" w:rsidRPr="00CC2710" w:rsidRDefault="00BB2FF0" w:rsidP="001C2D14">
            <w:pPr>
              <w:jc w:val="center"/>
              <w:rPr>
                <w:rFonts w:asciiTheme="minorHAnsi" w:hAnsiTheme="minorHAnsi"/>
                <w:b/>
                <w:color w:val="FFFFFF" w:themeColor="background1"/>
                <w:lang w:val="en-GB"/>
              </w:rPr>
            </w:pPr>
          </w:p>
        </w:tc>
        <w:tc>
          <w:tcPr>
            <w:tcW w:w="7962" w:type="dxa"/>
            <w:shd w:val="clear" w:color="auto" w:fill="auto"/>
          </w:tcPr>
          <w:p w:rsidR="00BB2FF0" w:rsidRDefault="005626E1" w:rsidP="001C2D14">
            <w:pPr>
              <w:pStyle w:val="ListParagraph"/>
              <w:numPr>
                <w:ilvl w:val="0"/>
                <w:numId w:val="7"/>
              </w:numPr>
              <w:ind w:left="488"/>
              <w:rPr>
                <w:rFonts w:asciiTheme="minorHAnsi" w:hAnsiTheme="minorHAnsi"/>
                <w:i/>
                <w:lang w:val="en-GB"/>
              </w:rPr>
            </w:pPr>
            <w:r>
              <w:rPr>
                <w:rFonts w:asciiTheme="minorHAnsi" w:hAnsiTheme="minorHAnsi"/>
                <w:i/>
                <w:lang w:val="en-GB"/>
              </w:rPr>
              <w:t xml:space="preserve">Henriette VAN </w:t>
            </w:r>
            <w:r w:rsidR="00B135A6">
              <w:rPr>
                <w:rFonts w:asciiTheme="minorHAnsi" w:hAnsiTheme="minorHAnsi"/>
                <w:i/>
                <w:lang w:val="en-GB"/>
              </w:rPr>
              <w:t>EIJL</w:t>
            </w:r>
            <w:r w:rsidR="00E113F5">
              <w:rPr>
                <w:rFonts w:asciiTheme="minorHAnsi" w:hAnsiTheme="minorHAnsi"/>
                <w:i/>
                <w:lang w:val="en-GB"/>
              </w:rPr>
              <w:t xml:space="preserve"> &amp; Robert MISSEN </w:t>
            </w:r>
            <w:r w:rsidR="00B135A6">
              <w:rPr>
                <w:rFonts w:asciiTheme="minorHAnsi" w:hAnsiTheme="minorHAnsi"/>
                <w:i/>
                <w:lang w:val="en-GB"/>
              </w:rPr>
              <w:t>(</w:t>
            </w:r>
            <w:r w:rsidR="00697366" w:rsidRPr="00697366">
              <w:rPr>
                <w:rFonts w:asciiTheme="minorHAnsi" w:hAnsiTheme="minorHAnsi"/>
                <w:i/>
                <w:lang w:val="en-GB"/>
              </w:rPr>
              <w:t>DG MOVE</w:t>
            </w:r>
            <w:r w:rsidR="00697366">
              <w:rPr>
                <w:rFonts w:asciiTheme="minorHAnsi" w:hAnsiTheme="minorHAnsi"/>
                <w:i/>
                <w:lang w:val="en-GB"/>
              </w:rPr>
              <w:t xml:space="preserve"> </w:t>
            </w:r>
            <w:r w:rsidR="00697366" w:rsidRPr="00697366">
              <w:rPr>
                <w:rFonts w:asciiTheme="minorHAnsi" w:hAnsiTheme="minorHAnsi"/>
                <w:i/>
                <w:lang w:val="en-GB"/>
              </w:rPr>
              <w:t>B3 Innovation and Research</w:t>
            </w:r>
            <w:r w:rsidR="00B135A6">
              <w:rPr>
                <w:rFonts w:asciiTheme="minorHAnsi" w:hAnsiTheme="minorHAnsi"/>
                <w:i/>
                <w:lang w:val="en-GB"/>
              </w:rPr>
              <w:t>)</w:t>
            </w:r>
          </w:p>
          <w:p w:rsidR="00E113F5" w:rsidRPr="00697366" w:rsidRDefault="00E113F5" w:rsidP="00E113F5">
            <w:pPr>
              <w:pStyle w:val="ListParagraph"/>
              <w:numPr>
                <w:ilvl w:val="0"/>
                <w:numId w:val="7"/>
              </w:numPr>
              <w:ind w:left="488"/>
              <w:rPr>
                <w:rFonts w:asciiTheme="minorHAnsi" w:hAnsiTheme="minorHAnsi"/>
                <w:i/>
                <w:lang w:val="en-GB"/>
              </w:rPr>
            </w:pPr>
            <w:r>
              <w:rPr>
                <w:rFonts w:asciiTheme="minorHAnsi" w:hAnsiTheme="minorHAnsi"/>
                <w:i/>
                <w:lang w:val="en-GB"/>
              </w:rPr>
              <w:t>Christian G</w:t>
            </w:r>
            <w:r w:rsidRPr="00E113F5">
              <w:rPr>
                <w:rFonts w:asciiTheme="minorHAnsi" w:hAnsiTheme="minorHAnsi"/>
                <w:i/>
                <w:lang w:val="en-GB"/>
              </w:rPr>
              <w:t>UERTLER</w:t>
            </w:r>
            <w:r>
              <w:rPr>
                <w:rFonts w:asciiTheme="minorHAnsi" w:hAnsiTheme="minorHAnsi"/>
                <w:i/>
                <w:lang w:val="en-GB"/>
              </w:rPr>
              <w:t xml:space="preserve"> (The-Urban-Institute)</w:t>
            </w:r>
          </w:p>
        </w:tc>
      </w:tr>
      <w:tr w:rsidR="00BB2FF0" w:rsidRPr="00E113F5" w:rsidTr="001A3E7C">
        <w:trPr>
          <w:trHeight w:val="20"/>
        </w:trPr>
        <w:tc>
          <w:tcPr>
            <w:tcW w:w="1672" w:type="dxa"/>
            <w:shd w:val="clear" w:color="auto" w:fill="auto"/>
          </w:tcPr>
          <w:p w:rsidR="00BB2FF0" w:rsidRPr="00E113F5" w:rsidRDefault="00BB2FF0" w:rsidP="001C2D14">
            <w:pPr>
              <w:jc w:val="center"/>
              <w:rPr>
                <w:rFonts w:asciiTheme="minorHAnsi" w:hAnsiTheme="minorHAnsi"/>
                <w:b/>
                <w:color w:val="FFFFFF" w:themeColor="background1"/>
                <w:sz w:val="8"/>
                <w:szCs w:val="8"/>
                <w:lang w:val="en-GB"/>
              </w:rPr>
            </w:pPr>
          </w:p>
        </w:tc>
        <w:tc>
          <w:tcPr>
            <w:tcW w:w="7962" w:type="dxa"/>
            <w:shd w:val="clear" w:color="auto" w:fill="auto"/>
          </w:tcPr>
          <w:p w:rsidR="00BB2FF0" w:rsidRPr="00E113F5" w:rsidRDefault="00BB2FF0" w:rsidP="001C2D14">
            <w:pPr>
              <w:rPr>
                <w:rFonts w:asciiTheme="minorHAnsi" w:hAnsiTheme="minorHAnsi"/>
                <w:b/>
                <w:color w:val="00AEEF"/>
                <w:sz w:val="8"/>
                <w:szCs w:val="8"/>
                <w:lang w:val="en-GB"/>
              </w:rPr>
            </w:pPr>
          </w:p>
        </w:tc>
      </w:tr>
      <w:tr w:rsidR="00CB7876" w:rsidRPr="00E113F5" w:rsidTr="001A3E7C">
        <w:trPr>
          <w:trHeight w:val="20"/>
        </w:trPr>
        <w:tc>
          <w:tcPr>
            <w:tcW w:w="1672" w:type="dxa"/>
            <w:vMerge w:val="restart"/>
            <w:shd w:val="clear" w:color="auto" w:fill="0073AE"/>
          </w:tcPr>
          <w:p w:rsidR="00CB7876" w:rsidRPr="00E15CC1" w:rsidRDefault="00CB7876" w:rsidP="001C2D14">
            <w:pPr>
              <w:jc w:val="center"/>
              <w:rPr>
                <w:rFonts w:asciiTheme="minorHAnsi" w:hAnsiTheme="minorHAnsi"/>
                <w:b/>
                <w:color w:val="FFFFFF" w:themeColor="background1"/>
              </w:rPr>
            </w:pPr>
            <w:r>
              <w:rPr>
                <w:rFonts w:asciiTheme="minorHAnsi" w:hAnsiTheme="minorHAnsi"/>
                <w:b/>
                <w:color w:val="FFFFFF" w:themeColor="background1"/>
              </w:rPr>
              <w:t>14:45-15.00</w:t>
            </w:r>
          </w:p>
        </w:tc>
        <w:tc>
          <w:tcPr>
            <w:tcW w:w="7962" w:type="dxa"/>
            <w:shd w:val="clear" w:color="auto" w:fill="auto"/>
          </w:tcPr>
          <w:p w:rsidR="00CB7876" w:rsidRPr="00BB2FF0" w:rsidRDefault="00CB7876" w:rsidP="001C2D14">
            <w:pPr>
              <w:rPr>
                <w:rFonts w:asciiTheme="minorHAnsi" w:hAnsiTheme="minorHAnsi"/>
                <w:b/>
                <w:i/>
                <w:color w:val="00AEEF"/>
                <w:lang w:val="en-GB"/>
              </w:rPr>
            </w:pPr>
            <w:r>
              <w:rPr>
                <w:rFonts w:asciiTheme="minorHAnsi" w:hAnsiTheme="minorHAnsi"/>
                <w:b/>
                <w:color w:val="00AEEF"/>
                <w:lang w:val="en-GB"/>
              </w:rPr>
              <w:t>Tour de table (</w:t>
            </w:r>
            <w:r w:rsidR="00B647CC">
              <w:rPr>
                <w:rFonts w:asciiTheme="minorHAnsi" w:hAnsiTheme="minorHAnsi"/>
                <w:b/>
                <w:color w:val="00AEEF"/>
                <w:lang w:val="en-GB"/>
              </w:rPr>
              <w:t>expectations from the meeting and from the AC SUM</w:t>
            </w:r>
            <w:r>
              <w:rPr>
                <w:rFonts w:asciiTheme="minorHAnsi" w:hAnsiTheme="minorHAnsi"/>
                <w:b/>
                <w:color w:val="00AEEF"/>
                <w:lang w:val="en-GB"/>
              </w:rPr>
              <w:t>)</w:t>
            </w:r>
          </w:p>
        </w:tc>
      </w:tr>
      <w:tr w:rsidR="00CB7876" w:rsidRPr="00E113F5" w:rsidTr="001A3E7C">
        <w:trPr>
          <w:trHeight w:val="20"/>
        </w:trPr>
        <w:tc>
          <w:tcPr>
            <w:tcW w:w="1672" w:type="dxa"/>
            <w:vMerge/>
            <w:shd w:val="clear" w:color="auto" w:fill="0073AE"/>
          </w:tcPr>
          <w:p w:rsidR="00CB7876" w:rsidRPr="00BB2FF0" w:rsidRDefault="00CB7876" w:rsidP="001C2D14">
            <w:pPr>
              <w:jc w:val="center"/>
              <w:rPr>
                <w:rFonts w:asciiTheme="minorHAnsi" w:hAnsiTheme="minorHAnsi"/>
                <w:b/>
                <w:color w:val="FFFFFF" w:themeColor="background1"/>
                <w:lang w:val="en-GB"/>
              </w:rPr>
            </w:pPr>
          </w:p>
        </w:tc>
        <w:tc>
          <w:tcPr>
            <w:tcW w:w="7962" w:type="dxa"/>
            <w:shd w:val="clear" w:color="auto" w:fill="auto"/>
          </w:tcPr>
          <w:p w:rsidR="00CB7876" w:rsidRPr="00DA30BD" w:rsidRDefault="00CB7876" w:rsidP="001C2D14">
            <w:pPr>
              <w:pStyle w:val="ListParagraph"/>
              <w:numPr>
                <w:ilvl w:val="0"/>
                <w:numId w:val="7"/>
              </w:numPr>
              <w:ind w:left="488"/>
              <w:rPr>
                <w:rFonts w:asciiTheme="minorHAnsi" w:hAnsiTheme="minorHAnsi"/>
                <w:b/>
                <w:i/>
                <w:color w:val="00AEEF"/>
                <w:lang w:val="en-GB"/>
              </w:rPr>
            </w:pPr>
            <w:r>
              <w:rPr>
                <w:rFonts w:asciiTheme="minorHAnsi" w:hAnsiTheme="minorHAnsi"/>
                <w:i/>
                <w:lang w:val="en-GB"/>
              </w:rPr>
              <w:t>Participants</w:t>
            </w:r>
          </w:p>
          <w:p w:rsidR="00DA30BD" w:rsidRPr="00BB2FF0" w:rsidRDefault="005626E1" w:rsidP="001C2D14">
            <w:pPr>
              <w:pStyle w:val="ListParagraph"/>
              <w:numPr>
                <w:ilvl w:val="0"/>
                <w:numId w:val="7"/>
              </w:numPr>
              <w:ind w:left="488"/>
              <w:rPr>
                <w:rFonts w:asciiTheme="minorHAnsi" w:hAnsiTheme="minorHAnsi"/>
                <w:b/>
                <w:i/>
                <w:color w:val="00AEEF"/>
                <w:lang w:val="en-GB"/>
              </w:rPr>
            </w:pPr>
            <w:r>
              <w:rPr>
                <w:rFonts w:asciiTheme="minorHAnsi" w:hAnsiTheme="minorHAnsi"/>
                <w:i/>
                <w:lang w:val="en-GB"/>
              </w:rPr>
              <w:t xml:space="preserve">Moderation by Henriette VAN </w:t>
            </w:r>
            <w:r w:rsidR="00DA30BD">
              <w:rPr>
                <w:rFonts w:asciiTheme="minorHAnsi" w:hAnsiTheme="minorHAnsi"/>
                <w:i/>
                <w:lang w:val="en-GB"/>
              </w:rPr>
              <w:t>EIJL (</w:t>
            </w:r>
            <w:r w:rsidR="00DA30BD" w:rsidRPr="00E81E45">
              <w:rPr>
                <w:rFonts w:asciiTheme="minorHAnsi" w:hAnsiTheme="minorHAnsi"/>
                <w:i/>
                <w:lang w:val="en-GB"/>
              </w:rPr>
              <w:t>DG</w:t>
            </w:r>
            <w:r w:rsidR="00DA30BD">
              <w:rPr>
                <w:rFonts w:asciiTheme="minorHAnsi" w:hAnsiTheme="minorHAnsi"/>
                <w:i/>
                <w:lang w:val="en-GB"/>
              </w:rPr>
              <w:t xml:space="preserve"> MOVE B3 Innovation and Research)</w:t>
            </w:r>
          </w:p>
        </w:tc>
      </w:tr>
      <w:tr w:rsidR="00BB2FF0" w:rsidRPr="00E113F5" w:rsidTr="001A3E7C">
        <w:trPr>
          <w:trHeight w:val="20"/>
        </w:trPr>
        <w:tc>
          <w:tcPr>
            <w:tcW w:w="1672" w:type="dxa"/>
            <w:shd w:val="clear" w:color="auto" w:fill="auto"/>
          </w:tcPr>
          <w:p w:rsidR="00BB2FF0" w:rsidRPr="00E113F5" w:rsidRDefault="00BB2FF0" w:rsidP="001C2D14">
            <w:pPr>
              <w:jc w:val="center"/>
              <w:rPr>
                <w:rFonts w:asciiTheme="minorHAnsi" w:hAnsiTheme="minorHAnsi"/>
                <w:b/>
                <w:sz w:val="8"/>
                <w:szCs w:val="8"/>
                <w:highlight w:val="yellow"/>
                <w:lang w:val="en-GB"/>
              </w:rPr>
            </w:pPr>
          </w:p>
        </w:tc>
        <w:tc>
          <w:tcPr>
            <w:tcW w:w="7962" w:type="dxa"/>
            <w:shd w:val="clear" w:color="auto" w:fill="auto"/>
          </w:tcPr>
          <w:p w:rsidR="00BB2FF0" w:rsidRPr="00E113F5" w:rsidRDefault="00BB2FF0" w:rsidP="001C2D14">
            <w:pPr>
              <w:rPr>
                <w:rFonts w:asciiTheme="minorHAnsi" w:hAnsiTheme="minorHAnsi"/>
                <w:b/>
                <w:sz w:val="8"/>
                <w:szCs w:val="8"/>
                <w:highlight w:val="yellow"/>
                <w:lang w:val="en-GB"/>
              </w:rPr>
            </w:pPr>
          </w:p>
        </w:tc>
      </w:tr>
      <w:tr w:rsidR="00E113F5" w:rsidRPr="00E113F5" w:rsidTr="00E113F5">
        <w:trPr>
          <w:trHeight w:val="20"/>
        </w:trPr>
        <w:tc>
          <w:tcPr>
            <w:tcW w:w="1672" w:type="dxa"/>
            <w:shd w:val="clear" w:color="auto" w:fill="0073AE"/>
          </w:tcPr>
          <w:p w:rsidR="00E113F5" w:rsidRPr="00DA30BD" w:rsidRDefault="00E113F5" w:rsidP="001C2D14">
            <w:pPr>
              <w:jc w:val="center"/>
              <w:rPr>
                <w:rFonts w:asciiTheme="minorHAnsi" w:hAnsiTheme="minorHAnsi"/>
                <w:b/>
                <w:highlight w:val="yellow"/>
                <w:lang w:val="en-GB"/>
              </w:rPr>
            </w:pPr>
            <w:r w:rsidRPr="00E113F5">
              <w:rPr>
                <w:rFonts w:asciiTheme="minorHAnsi" w:hAnsiTheme="minorHAnsi"/>
                <w:b/>
                <w:color w:val="FFFFFF" w:themeColor="background1"/>
                <w:lang w:val="en-GB"/>
              </w:rPr>
              <w:t>15.00 – 15.10</w:t>
            </w:r>
          </w:p>
        </w:tc>
        <w:tc>
          <w:tcPr>
            <w:tcW w:w="7962" w:type="dxa"/>
            <w:shd w:val="clear" w:color="auto" w:fill="auto"/>
          </w:tcPr>
          <w:p w:rsidR="00E113F5" w:rsidRPr="00DA30BD" w:rsidRDefault="00E113F5" w:rsidP="001C2D14">
            <w:pPr>
              <w:rPr>
                <w:rFonts w:asciiTheme="minorHAnsi" w:hAnsiTheme="minorHAnsi"/>
                <w:b/>
                <w:highlight w:val="yellow"/>
                <w:lang w:val="en-GB"/>
              </w:rPr>
            </w:pPr>
            <w:r w:rsidRPr="00E113F5">
              <w:rPr>
                <w:rFonts w:asciiTheme="minorHAnsi" w:hAnsiTheme="minorHAnsi"/>
                <w:b/>
                <w:color w:val="00AEEF"/>
                <w:lang w:val="en-GB"/>
              </w:rPr>
              <w:t>EIP-SCC</w:t>
            </w:r>
            <w:r>
              <w:rPr>
                <w:rFonts w:asciiTheme="minorHAnsi" w:hAnsiTheme="minorHAnsi"/>
                <w:b/>
                <w:color w:val="00AEEF"/>
                <w:lang w:val="en-GB"/>
              </w:rPr>
              <w:t xml:space="preserve">: </w:t>
            </w:r>
            <w:r w:rsidR="002973F4">
              <w:rPr>
                <w:rFonts w:asciiTheme="minorHAnsi" w:hAnsiTheme="minorHAnsi"/>
                <w:b/>
                <w:color w:val="00AEEF"/>
                <w:lang w:val="en-GB"/>
              </w:rPr>
              <w:t>framework, operational approach</w:t>
            </w:r>
          </w:p>
        </w:tc>
      </w:tr>
      <w:tr w:rsidR="00E113F5" w:rsidRPr="00E113F5" w:rsidTr="00E113F5">
        <w:trPr>
          <w:trHeight w:val="20"/>
        </w:trPr>
        <w:tc>
          <w:tcPr>
            <w:tcW w:w="1672" w:type="dxa"/>
            <w:shd w:val="clear" w:color="auto" w:fill="0073AE"/>
          </w:tcPr>
          <w:p w:rsidR="00E113F5" w:rsidRPr="00E113F5" w:rsidRDefault="00E113F5" w:rsidP="00E113F5">
            <w:pPr>
              <w:pStyle w:val="ListParagraph"/>
              <w:numPr>
                <w:ilvl w:val="0"/>
                <w:numId w:val="7"/>
              </w:numPr>
              <w:ind w:left="488"/>
              <w:rPr>
                <w:rFonts w:asciiTheme="minorHAnsi" w:hAnsiTheme="minorHAnsi"/>
                <w:i/>
                <w:lang w:val="en-GB"/>
              </w:rPr>
            </w:pPr>
          </w:p>
        </w:tc>
        <w:tc>
          <w:tcPr>
            <w:tcW w:w="7962" w:type="dxa"/>
            <w:shd w:val="clear" w:color="auto" w:fill="auto"/>
          </w:tcPr>
          <w:p w:rsidR="00E113F5" w:rsidRPr="00E113F5" w:rsidRDefault="00E113F5" w:rsidP="00E113F5">
            <w:pPr>
              <w:pStyle w:val="ListParagraph"/>
              <w:numPr>
                <w:ilvl w:val="0"/>
                <w:numId w:val="7"/>
              </w:numPr>
              <w:ind w:left="488"/>
              <w:rPr>
                <w:rFonts w:asciiTheme="minorHAnsi" w:hAnsiTheme="minorHAnsi"/>
                <w:i/>
                <w:lang w:val="en-GB"/>
              </w:rPr>
            </w:pPr>
            <w:r w:rsidRPr="00E113F5">
              <w:rPr>
                <w:rFonts w:asciiTheme="minorHAnsi" w:hAnsiTheme="minorHAnsi"/>
                <w:i/>
                <w:lang w:val="en-GB"/>
              </w:rPr>
              <w:t>Enrico GASPARI</w:t>
            </w:r>
            <w:r>
              <w:rPr>
                <w:rFonts w:asciiTheme="minorHAnsi" w:hAnsiTheme="minorHAnsi"/>
                <w:i/>
                <w:lang w:val="en-GB"/>
              </w:rPr>
              <w:t xml:space="preserve"> (PwC)</w:t>
            </w:r>
          </w:p>
        </w:tc>
      </w:tr>
      <w:tr w:rsidR="00E113F5" w:rsidRPr="00E113F5" w:rsidTr="001A3E7C">
        <w:trPr>
          <w:trHeight w:val="20"/>
        </w:trPr>
        <w:tc>
          <w:tcPr>
            <w:tcW w:w="1672" w:type="dxa"/>
            <w:shd w:val="clear" w:color="auto" w:fill="auto"/>
          </w:tcPr>
          <w:p w:rsidR="00E113F5" w:rsidRPr="00E113F5" w:rsidRDefault="00E113F5" w:rsidP="001C2D14">
            <w:pPr>
              <w:jc w:val="center"/>
              <w:rPr>
                <w:rFonts w:asciiTheme="minorHAnsi" w:hAnsiTheme="minorHAnsi"/>
                <w:b/>
                <w:sz w:val="8"/>
                <w:szCs w:val="8"/>
                <w:highlight w:val="yellow"/>
                <w:lang w:val="en-GB"/>
              </w:rPr>
            </w:pPr>
          </w:p>
        </w:tc>
        <w:tc>
          <w:tcPr>
            <w:tcW w:w="7962" w:type="dxa"/>
            <w:shd w:val="clear" w:color="auto" w:fill="auto"/>
          </w:tcPr>
          <w:p w:rsidR="00E113F5" w:rsidRPr="00E113F5" w:rsidRDefault="00E113F5" w:rsidP="001C2D14">
            <w:pPr>
              <w:rPr>
                <w:rFonts w:asciiTheme="minorHAnsi" w:hAnsiTheme="minorHAnsi"/>
                <w:b/>
                <w:sz w:val="8"/>
                <w:szCs w:val="8"/>
                <w:highlight w:val="yellow"/>
                <w:lang w:val="en-GB"/>
              </w:rPr>
            </w:pPr>
          </w:p>
        </w:tc>
      </w:tr>
      <w:tr w:rsidR="00CB7876" w:rsidRPr="00E113F5" w:rsidTr="0019788B">
        <w:trPr>
          <w:trHeight w:val="254"/>
        </w:trPr>
        <w:tc>
          <w:tcPr>
            <w:tcW w:w="1672" w:type="dxa"/>
            <w:vMerge w:val="restart"/>
            <w:shd w:val="clear" w:color="auto" w:fill="0073AE"/>
          </w:tcPr>
          <w:p w:rsidR="00CB7876" w:rsidRPr="00E15CC1" w:rsidRDefault="00CB7876" w:rsidP="001C2D14">
            <w:pPr>
              <w:jc w:val="center"/>
              <w:rPr>
                <w:rFonts w:asciiTheme="minorHAnsi" w:hAnsiTheme="minorHAnsi"/>
                <w:b/>
                <w:color w:val="FFFFFF" w:themeColor="background1"/>
              </w:rPr>
            </w:pPr>
            <w:r w:rsidRPr="00E15CC1">
              <w:rPr>
                <w:rFonts w:asciiTheme="minorHAnsi" w:hAnsiTheme="minorHAnsi"/>
                <w:b/>
                <w:color w:val="FFFFFF" w:themeColor="background1"/>
              </w:rPr>
              <w:t>1</w:t>
            </w:r>
            <w:r>
              <w:rPr>
                <w:rFonts w:asciiTheme="minorHAnsi" w:hAnsiTheme="minorHAnsi"/>
                <w:b/>
                <w:color w:val="FFFFFF" w:themeColor="background1"/>
              </w:rPr>
              <w:t>5</w:t>
            </w:r>
            <w:r w:rsidRPr="00E15CC1">
              <w:rPr>
                <w:rFonts w:asciiTheme="minorHAnsi" w:hAnsiTheme="minorHAnsi"/>
                <w:b/>
                <w:color w:val="FFFFFF" w:themeColor="background1"/>
              </w:rPr>
              <w:t>:</w:t>
            </w:r>
            <w:r w:rsidR="00E113F5">
              <w:rPr>
                <w:rFonts w:asciiTheme="minorHAnsi" w:hAnsiTheme="minorHAnsi"/>
                <w:b/>
                <w:color w:val="FFFFFF" w:themeColor="background1"/>
              </w:rPr>
              <w:t>1</w:t>
            </w:r>
            <w:r>
              <w:rPr>
                <w:rFonts w:asciiTheme="minorHAnsi" w:hAnsiTheme="minorHAnsi"/>
                <w:b/>
                <w:color w:val="FFFFFF" w:themeColor="background1"/>
              </w:rPr>
              <w:t>0</w:t>
            </w:r>
            <w:r w:rsidRPr="00E15CC1">
              <w:rPr>
                <w:rFonts w:asciiTheme="minorHAnsi" w:hAnsiTheme="minorHAnsi"/>
                <w:b/>
                <w:color w:val="FFFFFF" w:themeColor="background1"/>
              </w:rPr>
              <w:t xml:space="preserve"> – </w:t>
            </w:r>
            <w:r w:rsidR="00E113F5">
              <w:rPr>
                <w:rFonts w:asciiTheme="minorHAnsi" w:hAnsiTheme="minorHAnsi"/>
                <w:b/>
                <w:color w:val="FFFFFF" w:themeColor="background1"/>
              </w:rPr>
              <w:t>16:00</w:t>
            </w:r>
          </w:p>
        </w:tc>
        <w:tc>
          <w:tcPr>
            <w:tcW w:w="7962" w:type="dxa"/>
            <w:shd w:val="clear" w:color="auto" w:fill="auto"/>
          </w:tcPr>
          <w:p w:rsidR="00CB7876" w:rsidRPr="00BB2FF0" w:rsidRDefault="00CB7876" w:rsidP="001C2D14">
            <w:pPr>
              <w:rPr>
                <w:rFonts w:asciiTheme="minorHAnsi" w:hAnsiTheme="minorHAnsi"/>
                <w:b/>
                <w:color w:val="00AEEF"/>
                <w:lang w:val="en-GB"/>
              </w:rPr>
            </w:pPr>
            <w:r>
              <w:rPr>
                <w:rFonts w:asciiTheme="minorHAnsi" w:hAnsiTheme="minorHAnsi"/>
                <w:b/>
                <w:color w:val="00AEEF"/>
                <w:lang w:val="en-GB"/>
              </w:rPr>
              <w:t>SUM i</w:t>
            </w:r>
            <w:r w:rsidRPr="003A75FC">
              <w:rPr>
                <w:rFonts w:asciiTheme="minorHAnsi" w:hAnsiTheme="minorHAnsi"/>
                <w:b/>
                <w:color w:val="00AEEF"/>
                <w:lang w:val="en-GB"/>
              </w:rPr>
              <w:t>nitiatives: b</w:t>
            </w:r>
            <w:r>
              <w:rPr>
                <w:rFonts w:asciiTheme="minorHAnsi" w:hAnsiTheme="minorHAnsi"/>
                <w:b/>
                <w:color w:val="00AEEF"/>
                <w:lang w:val="en-GB"/>
              </w:rPr>
              <w:t>ackground, objectives, working approach, stakeholders involved, work plan</w:t>
            </w:r>
          </w:p>
        </w:tc>
      </w:tr>
      <w:tr w:rsidR="00CB7876" w:rsidRPr="00E113F5" w:rsidTr="001A3E7C">
        <w:trPr>
          <w:trHeight w:val="20"/>
        </w:trPr>
        <w:tc>
          <w:tcPr>
            <w:tcW w:w="1672" w:type="dxa"/>
            <w:vMerge/>
            <w:shd w:val="clear" w:color="auto" w:fill="0073AE"/>
          </w:tcPr>
          <w:p w:rsidR="00CB7876" w:rsidRPr="00BB2FF0" w:rsidRDefault="00CB7876" w:rsidP="001C2D14">
            <w:pPr>
              <w:jc w:val="center"/>
              <w:rPr>
                <w:rFonts w:asciiTheme="minorHAnsi" w:hAnsiTheme="minorHAnsi"/>
                <w:b/>
                <w:color w:val="FFFFFF" w:themeColor="background1"/>
                <w:lang w:val="en-GB"/>
              </w:rPr>
            </w:pPr>
          </w:p>
        </w:tc>
        <w:tc>
          <w:tcPr>
            <w:tcW w:w="7962" w:type="dxa"/>
            <w:shd w:val="clear" w:color="auto" w:fill="auto"/>
          </w:tcPr>
          <w:p w:rsidR="00CB7876" w:rsidRDefault="00CB7876" w:rsidP="001C2D14">
            <w:pPr>
              <w:pStyle w:val="ListParagraph"/>
              <w:numPr>
                <w:ilvl w:val="0"/>
                <w:numId w:val="7"/>
              </w:numPr>
              <w:ind w:left="488"/>
              <w:rPr>
                <w:rFonts w:asciiTheme="minorHAnsi" w:hAnsiTheme="minorHAnsi"/>
                <w:i/>
                <w:lang w:val="en-GB"/>
              </w:rPr>
            </w:pPr>
            <w:r w:rsidRPr="006541D2">
              <w:rPr>
                <w:rFonts w:asciiTheme="minorHAnsi" w:hAnsiTheme="minorHAnsi"/>
                <w:i/>
                <w:lang w:val="en-GB"/>
              </w:rPr>
              <w:t>New Mobility Services, Edwin MERMANS (Province of Noord-Brabant</w:t>
            </w:r>
            <w:r w:rsidR="005626E1">
              <w:rPr>
                <w:rFonts w:asciiTheme="minorHAnsi" w:hAnsiTheme="minorHAnsi"/>
                <w:i/>
                <w:lang w:val="en-GB"/>
              </w:rPr>
              <w:t xml:space="preserve">/ </w:t>
            </w:r>
            <w:proofErr w:type="spellStart"/>
            <w:r w:rsidR="005626E1">
              <w:rPr>
                <w:rFonts w:asciiTheme="minorHAnsi" w:hAnsiTheme="minorHAnsi"/>
                <w:i/>
                <w:lang w:val="en-GB"/>
              </w:rPr>
              <w:t>Brabantstad</w:t>
            </w:r>
            <w:proofErr w:type="spellEnd"/>
            <w:r w:rsidRPr="006541D2">
              <w:rPr>
                <w:rFonts w:asciiTheme="minorHAnsi" w:hAnsiTheme="minorHAnsi"/>
                <w:i/>
                <w:lang w:val="en-GB"/>
              </w:rPr>
              <w:t>)</w:t>
            </w:r>
          </w:p>
          <w:p w:rsidR="005626E1" w:rsidRPr="006541D2" w:rsidRDefault="005626E1" w:rsidP="00EA50AE">
            <w:pPr>
              <w:pStyle w:val="ListParagraph"/>
              <w:numPr>
                <w:ilvl w:val="0"/>
                <w:numId w:val="7"/>
              </w:numPr>
              <w:ind w:left="488"/>
              <w:rPr>
                <w:rFonts w:asciiTheme="minorHAnsi" w:hAnsiTheme="minorHAnsi"/>
                <w:i/>
                <w:lang w:val="en-GB"/>
              </w:rPr>
            </w:pPr>
            <w:r w:rsidRPr="006541D2">
              <w:rPr>
                <w:rFonts w:asciiTheme="minorHAnsi" w:hAnsiTheme="minorHAnsi"/>
                <w:i/>
                <w:lang w:val="en-GB"/>
              </w:rPr>
              <w:t xml:space="preserve">EV4SCC, </w:t>
            </w:r>
            <w:r w:rsidR="00EA50AE">
              <w:rPr>
                <w:rFonts w:asciiTheme="minorHAnsi" w:hAnsiTheme="minorHAnsi"/>
                <w:i/>
                <w:lang w:val="en-GB"/>
              </w:rPr>
              <w:t>Mette HO</w:t>
            </w:r>
            <w:r w:rsidR="00812575">
              <w:rPr>
                <w:rFonts w:asciiTheme="minorHAnsi" w:hAnsiTheme="minorHAnsi"/>
                <w:i/>
                <w:lang w:val="en-GB"/>
              </w:rPr>
              <w:t>É (</w:t>
            </w:r>
            <w:r w:rsidR="00EA50AE" w:rsidRPr="00EA50AE">
              <w:rPr>
                <w:rFonts w:asciiTheme="minorHAnsi" w:hAnsiTheme="minorHAnsi"/>
                <w:i/>
                <w:lang w:val="en-GB"/>
              </w:rPr>
              <w:t>Copenhagen Electric</w:t>
            </w:r>
            <w:r w:rsidRPr="006541D2">
              <w:rPr>
                <w:rFonts w:asciiTheme="minorHAnsi" w:hAnsiTheme="minorHAnsi"/>
                <w:i/>
                <w:lang w:val="en-GB"/>
              </w:rPr>
              <w:t>)</w:t>
            </w:r>
          </w:p>
          <w:p w:rsidR="00CB7876" w:rsidRPr="006541D2" w:rsidRDefault="00CB7876" w:rsidP="001C2D14">
            <w:pPr>
              <w:pStyle w:val="ListParagraph"/>
              <w:numPr>
                <w:ilvl w:val="0"/>
                <w:numId w:val="7"/>
              </w:numPr>
              <w:ind w:left="488"/>
              <w:rPr>
                <w:rFonts w:asciiTheme="minorHAnsi" w:hAnsiTheme="minorHAnsi"/>
                <w:i/>
                <w:lang w:val="en-GB"/>
              </w:rPr>
            </w:pPr>
            <w:r w:rsidRPr="006541D2">
              <w:rPr>
                <w:rFonts w:asciiTheme="minorHAnsi" w:hAnsiTheme="minorHAnsi"/>
                <w:i/>
                <w:lang w:val="en-GB"/>
              </w:rPr>
              <w:t xml:space="preserve">Intelligent </w:t>
            </w:r>
            <w:r w:rsidR="005A7717" w:rsidRPr="006541D2">
              <w:rPr>
                <w:rFonts w:asciiTheme="minorHAnsi" w:hAnsiTheme="minorHAnsi"/>
                <w:i/>
                <w:lang w:val="en-GB"/>
              </w:rPr>
              <w:t xml:space="preserve">Mobility For Energy </w:t>
            </w:r>
            <w:r w:rsidR="005A7717">
              <w:rPr>
                <w:rFonts w:asciiTheme="minorHAnsi" w:hAnsiTheme="minorHAnsi"/>
                <w:i/>
                <w:lang w:val="en-GB"/>
              </w:rPr>
              <w:t>Transition</w:t>
            </w:r>
            <w:r w:rsidRPr="006541D2">
              <w:rPr>
                <w:rFonts w:asciiTheme="minorHAnsi" w:hAnsiTheme="minorHAnsi"/>
                <w:i/>
                <w:lang w:val="en-GB"/>
              </w:rPr>
              <w:t xml:space="preserve">, </w:t>
            </w:r>
            <w:r w:rsidR="00B135A6" w:rsidRPr="006541D2">
              <w:rPr>
                <w:rFonts w:asciiTheme="minorHAnsi" w:hAnsiTheme="minorHAnsi"/>
                <w:i/>
                <w:lang w:val="en-GB"/>
              </w:rPr>
              <w:t xml:space="preserve">Anna DOMENECH </w:t>
            </w:r>
            <w:r w:rsidRPr="006541D2">
              <w:rPr>
                <w:rFonts w:asciiTheme="minorHAnsi" w:hAnsiTheme="minorHAnsi"/>
                <w:i/>
                <w:lang w:val="en-GB"/>
              </w:rPr>
              <w:t>(Nissan)</w:t>
            </w:r>
          </w:p>
          <w:p w:rsidR="00CB7876" w:rsidRPr="005A7717" w:rsidRDefault="00CB7876" w:rsidP="001C2D14">
            <w:pPr>
              <w:pStyle w:val="ListParagraph"/>
              <w:numPr>
                <w:ilvl w:val="0"/>
                <w:numId w:val="7"/>
              </w:numPr>
              <w:ind w:left="488"/>
              <w:rPr>
                <w:rFonts w:asciiTheme="minorHAnsi" w:hAnsiTheme="minorHAnsi"/>
                <w:i/>
                <w:lang w:val="en-GB"/>
              </w:rPr>
            </w:pPr>
            <w:r w:rsidRPr="006541D2">
              <w:rPr>
                <w:rFonts w:asciiTheme="minorHAnsi" w:hAnsiTheme="minorHAnsi"/>
                <w:i/>
                <w:lang w:val="en-GB"/>
              </w:rPr>
              <w:t xml:space="preserve">Urban </w:t>
            </w:r>
            <w:r w:rsidR="005A7717">
              <w:rPr>
                <w:rFonts w:asciiTheme="minorHAnsi" w:hAnsiTheme="minorHAnsi"/>
                <w:i/>
                <w:lang w:val="en-GB"/>
              </w:rPr>
              <w:t xml:space="preserve">Air Mobility, </w:t>
            </w:r>
            <w:proofErr w:type="spellStart"/>
            <w:r w:rsidR="005A7717">
              <w:rPr>
                <w:rFonts w:asciiTheme="minorHAnsi" w:hAnsiTheme="minorHAnsi"/>
                <w:i/>
                <w:lang w:val="en-GB"/>
              </w:rPr>
              <w:t>Vassilis</w:t>
            </w:r>
            <w:proofErr w:type="spellEnd"/>
            <w:r w:rsidR="005A7717">
              <w:rPr>
                <w:rFonts w:asciiTheme="minorHAnsi" w:hAnsiTheme="minorHAnsi"/>
                <w:i/>
                <w:lang w:val="en-GB"/>
              </w:rPr>
              <w:t xml:space="preserve"> AGOURIDAS </w:t>
            </w:r>
            <w:r w:rsidRPr="005A7717">
              <w:rPr>
                <w:rFonts w:asciiTheme="minorHAnsi" w:hAnsiTheme="minorHAnsi"/>
                <w:i/>
                <w:lang w:val="en-GB"/>
              </w:rPr>
              <w:t>(Airbus)</w:t>
            </w:r>
          </w:p>
          <w:p w:rsidR="00CB7876" w:rsidRPr="006541D2" w:rsidRDefault="00CB7876" w:rsidP="001C2D14">
            <w:pPr>
              <w:pStyle w:val="ListParagraph"/>
              <w:numPr>
                <w:ilvl w:val="0"/>
                <w:numId w:val="7"/>
              </w:numPr>
              <w:ind w:left="488"/>
              <w:rPr>
                <w:rFonts w:asciiTheme="minorHAnsi" w:hAnsiTheme="minorHAnsi"/>
                <w:i/>
                <w:lang w:val="en-GB"/>
              </w:rPr>
            </w:pPr>
            <w:r w:rsidRPr="006541D2">
              <w:rPr>
                <w:rFonts w:asciiTheme="minorHAnsi" w:hAnsiTheme="minorHAnsi"/>
                <w:i/>
                <w:lang w:val="en-GB"/>
              </w:rPr>
              <w:t>Alternative Fuels Special Vehicles</w:t>
            </w:r>
            <w:r>
              <w:rPr>
                <w:rFonts w:asciiTheme="minorHAnsi" w:hAnsiTheme="minorHAnsi"/>
                <w:i/>
                <w:lang w:val="en-GB"/>
              </w:rPr>
              <w:t xml:space="preserve">, </w:t>
            </w:r>
            <w:r w:rsidRPr="006541D2">
              <w:rPr>
                <w:rFonts w:asciiTheme="minorHAnsi" w:hAnsiTheme="minorHAnsi"/>
                <w:i/>
                <w:lang w:val="en-GB"/>
              </w:rPr>
              <w:t xml:space="preserve">William </w:t>
            </w:r>
            <w:r w:rsidR="00B135A6" w:rsidRPr="006541D2">
              <w:rPr>
                <w:rFonts w:asciiTheme="minorHAnsi" w:hAnsiTheme="minorHAnsi"/>
                <w:i/>
                <w:lang w:val="en-GB"/>
              </w:rPr>
              <w:t>GOODWIN</w:t>
            </w:r>
            <w:r w:rsidR="00B135A6">
              <w:rPr>
                <w:rFonts w:asciiTheme="minorHAnsi" w:hAnsiTheme="minorHAnsi"/>
                <w:i/>
                <w:lang w:val="en-GB"/>
              </w:rPr>
              <w:t xml:space="preserve"> </w:t>
            </w:r>
            <w:r>
              <w:rPr>
                <w:rFonts w:asciiTheme="minorHAnsi" w:hAnsiTheme="minorHAnsi"/>
                <w:i/>
                <w:lang w:val="en-GB"/>
              </w:rPr>
              <w:t>(</w:t>
            </w:r>
            <w:proofErr w:type="spellStart"/>
            <w:r w:rsidRPr="006541D2">
              <w:rPr>
                <w:rFonts w:asciiTheme="minorHAnsi" w:hAnsiTheme="minorHAnsi"/>
                <w:i/>
                <w:lang w:val="en-GB"/>
              </w:rPr>
              <w:t>Aebi</w:t>
            </w:r>
            <w:proofErr w:type="spellEnd"/>
            <w:r w:rsidRPr="006541D2">
              <w:rPr>
                <w:rFonts w:asciiTheme="minorHAnsi" w:hAnsiTheme="minorHAnsi"/>
                <w:i/>
                <w:lang w:val="en-GB"/>
              </w:rPr>
              <w:t>-Schmidt)</w:t>
            </w:r>
          </w:p>
        </w:tc>
      </w:tr>
      <w:tr w:rsidR="00BB2FF0" w:rsidRPr="00E113F5" w:rsidTr="001A3E7C">
        <w:trPr>
          <w:trHeight w:val="20"/>
        </w:trPr>
        <w:tc>
          <w:tcPr>
            <w:tcW w:w="1672" w:type="dxa"/>
            <w:shd w:val="clear" w:color="auto" w:fill="auto"/>
          </w:tcPr>
          <w:p w:rsidR="00BB2FF0" w:rsidRPr="00E113F5" w:rsidRDefault="00BB2FF0" w:rsidP="001C2D14">
            <w:pPr>
              <w:jc w:val="center"/>
              <w:rPr>
                <w:rFonts w:asciiTheme="minorHAnsi" w:hAnsiTheme="minorHAnsi"/>
                <w:b/>
                <w:color w:val="FFFFFF" w:themeColor="background1"/>
                <w:sz w:val="8"/>
                <w:szCs w:val="8"/>
                <w:lang w:val="en-GB"/>
              </w:rPr>
            </w:pPr>
          </w:p>
        </w:tc>
        <w:tc>
          <w:tcPr>
            <w:tcW w:w="7962" w:type="dxa"/>
            <w:shd w:val="clear" w:color="auto" w:fill="auto"/>
          </w:tcPr>
          <w:p w:rsidR="00BB2FF0" w:rsidRPr="00E113F5" w:rsidRDefault="00BB2FF0" w:rsidP="001C2D14">
            <w:pPr>
              <w:rPr>
                <w:rFonts w:asciiTheme="minorHAnsi" w:hAnsiTheme="minorHAnsi"/>
                <w:b/>
                <w:color w:val="00AEEF"/>
                <w:sz w:val="8"/>
                <w:szCs w:val="8"/>
                <w:lang w:val="en-GB"/>
              </w:rPr>
            </w:pPr>
          </w:p>
        </w:tc>
      </w:tr>
      <w:tr w:rsidR="003A75FC" w:rsidRPr="003A75FC" w:rsidTr="001A3E7C">
        <w:trPr>
          <w:trHeight w:val="20"/>
        </w:trPr>
        <w:tc>
          <w:tcPr>
            <w:tcW w:w="1672" w:type="dxa"/>
            <w:shd w:val="clear" w:color="auto" w:fill="auto"/>
          </w:tcPr>
          <w:p w:rsidR="003A75FC" w:rsidRPr="003A75FC" w:rsidRDefault="003A75FC" w:rsidP="001C2D14">
            <w:pPr>
              <w:jc w:val="center"/>
              <w:rPr>
                <w:rFonts w:asciiTheme="minorHAnsi" w:hAnsiTheme="minorHAnsi"/>
                <w:b/>
                <w:i/>
                <w:color w:val="FFFFFF" w:themeColor="background1"/>
                <w:szCs w:val="2"/>
                <w:lang w:val="en-GB"/>
              </w:rPr>
            </w:pPr>
            <w:r w:rsidRPr="003A75FC">
              <w:rPr>
                <w:rFonts w:asciiTheme="minorHAnsi" w:hAnsiTheme="minorHAnsi"/>
                <w:b/>
                <w:i/>
                <w:szCs w:val="2"/>
                <w:lang w:val="en-GB"/>
              </w:rPr>
              <w:t>1</w:t>
            </w:r>
            <w:r>
              <w:rPr>
                <w:rFonts w:asciiTheme="minorHAnsi" w:hAnsiTheme="minorHAnsi"/>
                <w:b/>
                <w:i/>
                <w:szCs w:val="2"/>
                <w:lang w:val="en-GB"/>
              </w:rPr>
              <w:t>6</w:t>
            </w:r>
            <w:r w:rsidRPr="003A75FC">
              <w:rPr>
                <w:rFonts w:asciiTheme="minorHAnsi" w:hAnsiTheme="minorHAnsi"/>
                <w:b/>
                <w:i/>
                <w:szCs w:val="2"/>
                <w:lang w:val="en-GB"/>
              </w:rPr>
              <w:t>:</w:t>
            </w:r>
            <w:r w:rsidR="00E113F5">
              <w:rPr>
                <w:rFonts w:asciiTheme="minorHAnsi" w:hAnsiTheme="minorHAnsi"/>
                <w:b/>
                <w:i/>
                <w:szCs w:val="2"/>
                <w:lang w:val="en-GB"/>
              </w:rPr>
              <w:t>00</w:t>
            </w:r>
            <w:r w:rsidRPr="003A75FC">
              <w:rPr>
                <w:rFonts w:asciiTheme="minorHAnsi" w:hAnsiTheme="minorHAnsi"/>
                <w:b/>
                <w:i/>
                <w:szCs w:val="2"/>
                <w:lang w:val="en-GB"/>
              </w:rPr>
              <w:t>-</w:t>
            </w:r>
            <w:r>
              <w:rPr>
                <w:rFonts w:asciiTheme="minorHAnsi" w:hAnsiTheme="minorHAnsi"/>
                <w:b/>
                <w:i/>
                <w:szCs w:val="2"/>
                <w:lang w:val="en-GB"/>
              </w:rPr>
              <w:t>16:30</w:t>
            </w:r>
          </w:p>
        </w:tc>
        <w:tc>
          <w:tcPr>
            <w:tcW w:w="7962" w:type="dxa"/>
            <w:shd w:val="clear" w:color="auto" w:fill="auto"/>
          </w:tcPr>
          <w:p w:rsidR="003A75FC" w:rsidRPr="003A75FC" w:rsidRDefault="00E113F5" w:rsidP="00CC7441">
            <w:pPr>
              <w:rPr>
                <w:rFonts w:asciiTheme="minorHAnsi" w:hAnsiTheme="minorHAnsi"/>
                <w:b/>
                <w:i/>
                <w:color w:val="00AEEF"/>
                <w:szCs w:val="2"/>
                <w:lang w:val="en-GB"/>
              </w:rPr>
            </w:pPr>
            <w:r>
              <w:rPr>
                <w:rFonts w:asciiTheme="minorHAnsi" w:hAnsiTheme="minorHAnsi"/>
                <w:b/>
                <w:i/>
                <w:szCs w:val="2"/>
                <w:lang w:val="en-GB"/>
              </w:rPr>
              <w:t>Networking</w:t>
            </w:r>
            <w:r w:rsidR="00CC7441">
              <w:rPr>
                <w:rFonts w:asciiTheme="minorHAnsi" w:hAnsiTheme="minorHAnsi"/>
                <w:b/>
                <w:i/>
                <w:szCs w:val="2"/>
                <w:lang w:val="en-GB"/>
              </w:rPr>
              <w:t xml:space="preserve"> (coffee) </w:t>
            </w:r>
            <w:r w:rsidR="003A75FC" w:rsidRPr="003A75FC">
              <w:rPr>
                <w:rFonts w:asciiTheme="minorHAnsi" w:hAnsiTheme="minorHAnsi"/>
                <w:b/>
                <w:i/>
                <w:szCs w:val="2"/>
                <w:lang w:val="en-GB"/>
              </w:rPr>
              <w:t>break</w:t>
            </w:r>
          </w:p>
        </w:tc>
      </w:tr>
      <w:tr w:rsidR="003A75FC" w:rsidRPr="00BB2FF0" w:rsidTr="001A3E7C">
        <w:trPr>
          <w:trHeight w:val="20"/>
        </w:trPr>
        <w:tc>
          <w:tcPr>
            <w:tcW w:w="1672" w:type="dxa"/>
            <w:shd w:val="clear" w:color="auto" w:fill="auto"/>
          </w:tcPr>
          <w:p w:rsidR="003A75FC" w:rsidRPr="00E113F5" w:rsidRDefault="003A75FC" w:rsidP="001C2D14">
            <w:pPr>
              <w:jc w:val="center"/>
              <w:rPr>
                <w:rFonts w:asciiTheme="minorHAnsi" w:hAnsiTheme="minorHAnsi"/>
                <w:b/>
                <w:color w:val="FFFFFF" w:themeColor="background1"/>
                <w:sz w:val="8"/>
                <w:szCs w:val="8"/>
                <w:lang w:val="en-GB"/>
              </w:rPr>
            </w:pPr>
          </w:p>
        </w:tc>
        <w:tc>
          <w:tcPr>
            <w:tcW w:w="7962" w:type="dxa"/>
            <w:shd w:val="clear" w:color="auto" w:fill="auto"/>
          </w:tcPr>
          <w:p w:rsidR="003A75FC" w:rsidRPr="00E113F5" w:rsidRDefault="003A75FC" w:rsidP="001C2D14">
            <w:pPr>
              <w:rPr>
                <w:rFonts w:asciiTheme="minorHAnsi" w:hAnsiTheme="minorHAnsi"/>
                <w:b/>
                <w:color w:val="00AEEF"/>
                <w:sz w:val="8"/>
                <w:szCs w:val="8"/>
                <w:lang w:val="en-GB"/>
              </w:rPr>
            </w:pPr>
          </w:p>
        </w:tc>
      </w:tr>
      <w:tr w:rsidR="00C73D20" w:rsidRPr="00E113F5" w:rsidTr="00C73D20">
        <w:trPr>
          <w:trHeight w:val="20"/>
        </w:trPr>
        <w:tc>
          <w:tcPr>
            <w:tcW w:w="1672" w:type="dxa"/>
            <w:shd w:val="clear" w:color="auto" w:fill="0073AE"/>
          </w:tcPr>
          <w:p w:rsidR="00C73D20" w:rsidRPr="00BB2FF0" w:rsidRDefault="00E81E45" w:rsidP="001C2D14">
            <w:pPr>
              <w:jc w:val="center"/>
              <w:rPr>
                <w:rFonts w:asciiTheme="minorHAnsi" w:hAnsiTheme="minorHAnsi"/>
                <w:b/>
                <w:color w:val="FFFFFF" w:themeColor="background1"/>
                <w:szCs w:val="2"/>
                <w:lang w:val="en-GB"/>
              </w:rPr>
            </w:pPr>
            <w:r>
              <w:rPr>
                <w:rFonts w:asciiTheme="minorHAnsi" w:hAnsiTheme="minorHAnsi"/>
                <w:b/>
                <w:color w:val="FFFFFF" w:themeColor="background1"/>
              </w:rPr>
              <w:t>16:30</w:t>
            </w:r>
            <w:r w:rsidR="00C73D20" w:rsidRPr="00E81E45">
              <w:rPr>
                <w:rFonts w:asciiTheme="minorHAnsi" w:hAnsiTheme="minorHAnsi"/>
                <w:b/>
                <w:color w:val="FFFFFF" w:themeColor="background1"/>
              </w:rPr>
              <w:t xml:space="preserve"> – 16:</w:t>
            </w:r>
            <w:r>
              <w:rPr>
                <w:rFonts w:asciiTheme="minorHAnsi" w:hAnsiTheme="minorHAnsi"/>
                <w:b/>
                <w:color w:val="FFFFFF" w:themeColor="background1"/>
              </w:rPr>
              <w:t>45</w:t>
            </w:r>
          </w:p>
        </w:tc>
        <w:tc>
          <w:tcPr>
            <w:tcW w:w="7962" w:type="dxa"/>
            <w:shd w:val="clear" w:color="auto" w:fill="auto"/>
          </w:tcPr>
          <w:p w:rsidR="00C73D20" w:rsidRPr="00CB7876" w:rsidRDefault="00DF47C0" w:rsidP="001C2D14">
            <w:pPr>
              <w:rPr>
                <w:rFonts w:asciiTheme="minorHAnsi" w:hAnsiTheme="minorHAnsi"/>
                <w:b/>
                <w:color w:val="00AEEF"/>
                <w:lang w:val="en-GB"/>
              </w:rPr>
            </w:pPr>
            <w:r>
              <w:rPr>
                <w:rFonts w:asciiTheme="minorHAnsi" w:hAnsiTheme="minorHAnsi"/>
                <w:b/>
                <w:color w:val="00AEEF"/>
                <w:lang w:val="en-GB"/>
              </w:rPr>
              <w:t>EIP-</w:t>
            </w:r>
            <w:r w:rsidR="00E81E45" w:rsidRPr="00E81E45">
              <w:rPr>
                <w:rFonts w:asciiTheme="minorHAnsi" w:hAnsiTheme="minorHAnsi"/>
                <w:b/>
                <w:color w:val="00AEEF"/>
                <w:lang w:val="en-GB"/>
              </w:rPr>
              <w:t>SCC SUM support contract</w:t>
            </w:r>
          </w:p>
        </w:tc>
      </w:tr>
      <w:tr w:rsidR="00BB2FF0" w:rsidRPr="00E113F5" w:rsidTr="001A3E7C">
        <w:trPr>
          <w:trHeight w:val="20"/>
        </w:trPr>
        <w:tc>
          <w:tcPr>
            <w:tcW w:w="1672" w:type="dxa"/>
            <w:shd w:val="clear" w:color="auto" w:fill="0073AE"/>
          </w:tcPr>
          <w:p w:rsidR="00BB2FF0" w:rsidRPr="00E81E45" w:rsidRDefault="00BB2FF0" w:rsidP="001C2D14">
            <w:pPr>
              <w:pStyle w:val="ListParagraph"/>
              <w:numPr>
                <w:ilvl w:val="0"/>
                <w:numId w:val="7"/>
              </w:numPr>
              <w:ind w:left="488"/>
              <w:rPr>
                <w:rFonts w:asciiTheme="minorHAnsi" w:hAnsiTheme="minorHAnsi"/>
                <w:i/>
                <w:lang w:val="en-GB"/>
              </w:rPr>
            </w:pPr>
          </w:p>
        </w:tc>
        <w:tc>
          <w:tcPr>
            <w:tcW w:w="7962" w:type="dxa"/>
            <w:shd w:val="clear" w:color="auto" w:fill="auto"/>
          </w:tcPr>
          <w:p w:rsidR="00BB2FF0" w:rsidRPr="00E81E45" w:rsidRDefault="00B135A6" w:rsidP="001C2D14">
            <w:pPr>
              <w:pStyle w:val="ListParagraph"/>
              <w:numPr>
                <w:ilvl w:val="0"/>
                <w:numId w:val="7"/>
              </w:numPr>
              <w:ind w:left="488"/>
              <w:rPr>
                <w:rFonts w:asciiTheme="minorHAnsi" w:hAnsiTheme="minorHAnsi"/>
                <w:i/>
                <w:lang w:val="en-GB"/>
              </w:rPr>
            </w:pPr>
            <w:r>
              <w:rPr>
                <w:rFonts w:asciiTheme="minorHAnsi" w:hAnsiTheme="minorHAnsi"/>
                <w:i/>
                <w:lang w:val="en-GB"/>
              </w:rPr>
              <w:t xml:space="preserve">Linda </w:t>
            </w:r>
            <w:r w:rsidR="00E113F5">
              <w:rPr>
                <w:rFonts w:asciiTheme="minorHAnsi" w:hAnsiTheme="minorHAnsi"/>
                <w:i/>
                <w:lang w:val="en-GB"/>
              </w:rPr>
              <w:t xml:space="preserve">VAN DUIVENBODE </w:t>
            </w:r>
            <w:r>
              <w:rPr>
                <w:rFonts w:asciiTheme="minorHAnsi" w:hAnsiTheme="minorHAnsi"/>
                <w:i/>
                <w:lang w:val="en-GB"/>
              </w:rPr>
              <w:t>(</w:t>
            </w:r>
            <w:r w:rsidR="00E81E45" w:rsidRPr="00E81E45">
              <w:rPr>
                <w:rFonts w:asciiTheme="minorHAnsi" w:hAnsiTheme="minorHAnsi"/>
                <w:i/>
                <w:lang w:val="en-GB"/>
              </w:rPr>
              <w:t>The</w:t>
            </w:r>
            <w:r>
              <w:rPr>
                <w:rFonts w:asciiTheme="minorHAnsi" w:hAnsiTheme="minorHAnsi"/>
                <w:i/>
                <w:lang w:val="en-GB"/>
              </w:rPr>
              <w:t xml:space="preserve"> Extremely Useful Company)</w:t>
            </w:r>
          </w:p>
        </w:tc>
      </w:tr>
      <w:tr w:rsidR="00BB2FF0" w:rsidRPr="00E113F5" w:rsidTr="001A3E7C">
        <w:trPr>
          <w:trHeight w:val="20"/>
        </w:trPr>
        <w:tc>
          <w:tcPr>
            <w:tcW w:w="1672" w:type="dxa"/>
            <w:shd w:val="clear" w:color="auto" w:fill="auto"/>
          </w:tcPr>
          <w:p w:rsidR="00BB2FF0" w:rsidRPr="00E113F5" w:rsidRDefault="00BB2FF0" w:rsidP="001C2D14">
            <w:pPr>
              <w:jc w:val="center"/>
              <w:rPr>
                <w:rFonts w:asciiTheme="minorHAnsi" w:hAnsiTheme="minorHAnsi"/>
                <w:b/>
                <w:color w:val="FFFFFF" w:themeColor="background1"/>
                <w:sz w:val="8"/>
                <w:szCs w:val="8"/>
                <w:lang w:val="en-GB"/>
              </w:rPr>
            </w:pPr>
          </w:p>
        </w:tc>
        <w:tc>
          <w:tcPr>
            <w:tcW w:w="7962" w:type="dxa"/>
            <w:shd w:val="clear" w:color="auto" w:fill="auto"/>
          </w:tcPr>
          <w:p w:rsidR="00BB2FF0" w:rsidRPr="00E113F5" w:rsidRDefault="00BB2FF0" w:rsidP="001C2D14">
            <w:pPr>
              <w:rPr>
                <w:rFonts w:asciiTheme="minorHAnsi" w:hAnsiTheme="minorHAnsi"/>
                <w:b/>
                <w:color w:val="00AEEF"/>
                <w:sz w:val="8"/>
                <w:szCs w:val="8"/>
                <w:lang w:val="en-GB"/>
              </w:rPr>
            </w:pPr>
          </w:p>
        </w:tc>
      </w:tr>
      <w:tr w:rsidR="005B5CFB" w:rsidRPr="00B135A6" w:rsidTr="00E81E45">
        <w:trPr>
          <w:trHeight w:val="20"/>
        </w:trPr>
        <w:tc>
          <w:tcPr>
            <w:tcW w:w="1672" w:type="dxa"/>
            <w:vMerge w:val="restart"/>
            <w:shd w:val="clear" w:color="auto" w:fill="0073AE"/>
          </w:tcPr>
          <w:p w:rsidR="005B5CFB" w:rsidRPr="00E15CC1" w:rsidRDefault="005B5CFB" w:rsidP="001C2D14">
            <w:pPr>
              <w:rPr>
                <w:rFonts w:asciiTheme="minorHAnsi" w:hAnsiTheme="minorHAnsi"/>
                <w:b/>
                <w:color w:val="FFFFFF" w:themeColor="background1"/>
              </w:rPr>
            </w:pPr>
            <w:r>
              <w:rPr>
                <w:rFonts w:asciiTheme="minorHAnsi" w:hAnsiTheme="minorHAnsi"/>
                <w:b/>
                <w:color w:val="FFFFFF" w:themeColor="background1"/>
              </w:rPr>
              <w:t>16:45 – 17:15</w:t>
            </w:r>
          </w:p>
        </w:tc>
        <w:tc>
          <w:tcPr>
            <w:tcW w:w="7962" w:type="dxa"/>
            <w:shd w:val="clear" w:color="auto" w:fill="auto"/>
          </w:tcPr>
          <w:p w:rsidR="005B5CFB" w:rsidRPr="00CB7876" w:rsidRDefault="00B647CC" w:rsidP="001C2D14">
            <w:pPr>
              <w:rPr>
                <w:rFonts w:asciiTheme="minorHAnsi" w:hAnsiTheme="minorHAnsi"/>
                <w:color w:val="00AEEF"/>
                <w:lang w:val="en-GB"/>
              </w:rPr>
            </w:pPr>
            <w:r>
              <w:rPr>
                <w:rFonts w:asciiTheme="minorHAnsi" w:hAnsiTheme="minorHAnsi"/>
                <w:b/>
                <w:color w:val="00AEEF"/>
                <w:lang w:val="en-GB"/>
              </w:rPr>
              <w:t>SUM AC 2017-2018</w:t>
            </w:r>
            <w:r w:rsidR="005B5CFB" w:rsidRPr="00CB7876">
              <w:rPr>
                <w:rFonts w:asciiTheme="minorHAnsi" w:hAnsiTheme="minorHAnsi"/>
                <w:b/>
                <w:color w:val="00AEEF"/>
                <w:lang w:val="en-GB"/>
              </w:rPr>
              <w:t xml:space="preserve"> Plan</w:t>
            </w:r>
            <w:r w:rsidR="005B5CFB">
              <w:rPr>
                <w:rFonts w:asciiTheme="minorHAnsi" w:hAnsiTheme="minorHAnsi"/>
                <w:b/>
                <w:color w:val="00AEEF"/>
                <w:lang w:val="en-GB"/>
              </w:rPr>
              <w:t>/Roadmap</w:t>
            </w:r>
          </w:p>
        </w:tc>
      </w:tr>
      <w:tr w:rsidR="005B5CFB" w:rsidRPr="00E113F5" w:rsidTr="00E81E45">
        <w:trPr>
          <w:trHeight w:val="20"/>
        </w:trPr>
        <w:tc>
          <w:tcPr>
            <w:tcW w:w="1672" w:type="dxa"/>
            <w:vMerge/>
            <w:shd w:val="clear" w:color="auto" w:fill="0073AE"/>
          </w:tcPr>
          <w:p w:rsidR="005B5CFB" w:rsidRPr="00CB7876" w:rsidRDefault="005B5CFB" w:rsidP="001C2D14">
            <w:pPr>
              <w:rPr>
                <w:rFonts w:asciiTheme="minorHAnsi" w:hAnsiTheme="minorHAnsi"/>
                <w:b/>
                <w:color w:val="FFFFFF" w:themeColor="background1"/>
                <w:lang w:val="en-GB"/>
              </w:rPr>
            </w:pPr>
          </w:p>
        </w:tc>
        <w:tc>
          <w:tcPr>
            <w:tcW w:w="7962" w:type="dxa"/>
            <w:shd w:val="clear" w:color="auto" w:fill="FFFFFF" w:themeFill="background1"/>
          </w:tcPr>
          <w:p w:rsidR="00DA30BD" w:rsidRPr="00DA30BD" w:rsidRDefault="005B5CFB" w:rsidP="001C2D14">
            <w:pPr>
              <w:pStyle w:val="ListParagraph"/>
              <w:numPr>
                <w:ilvl w:val="0"/>
                <w:numId w:val="7"/>
              </w:numPr>
              <w:ind w:left="488"/>
              <w:rPr>
                <w:rFonts w:asciiTheme="minorHAnsi" w:hAnsiTheme="minorHAnsi"/>
                <w:b/>
                <w:color w:val="00AEEF"/>
                <w:lang w:val="en-GB"/>
              </w:rPr>
            </w:pPr>
            <w:r w:rsidRPr="00E81E45">
              <w:rPr>
                <w:rFonts w:asciiTheme="minorHAnsi" w:hAnsiTheme="minorHAnsi"/>
                <w:i/>
                <w:lang w:val="en-GB"/>
              </w:rPr>
              <w:t>Participants</w:t>
            </w:r>
          </w:p>
          <w:p w:rsidR="005B5CFB" w:rsidRPr="00BB2FF0" w:rsidRDefault="00DA30BD" w:rsidP="001C2D14">
            <w:pPr>
              <w:pStyle w:val="ListParagraph"/>
              <w:numPr>
                <w:ilvl w:val="0"/>
                <w:numId w:val="7"/>
              </w:numPr>
              <w:ind w:left="488"/>
              <w:rPr>
                <w:rFonts w:asciiTheme="minorHAnsi" w:hAnsiTheme="minorHAnsi"/>
                <w:b/>
                <w:color w:val="00AEEF"/>
                <w:lang w:val="en-GB"/>
              </w:rPr>
            </w:pPr>
            <w:r>
              <w:rPr>
                <w:rFonts w:asciiTheme="minorHAnsi" w:hAnsiTheme="minorHAnsi"/>
                <w:i/>
                <w:lang w:val="en-GB"/>
              </w:rPr>
              <w:t xml:space="preserve">Moderation by </w:t>
            </w:r>
            <w:r w:rsidR="00B135A6">
              <w:rPr>
                <w:rFonts w:asciiTheme="minorHAnsi" w:hAnsiTheme="minorHAnsi"/>
                <w:i/>
                <w:lang w:val="en-GB"/>
              </w:rPr>
              <w:t>Henriette VAN-EIJL (</w:t>
            </w:r>
            <w:r w:rsidR="005B5CFB" w:rsidRPr="00E81E45">
              <w:rPr>
                <w:rFonts w:asciiTheme="minorHAnsi" w:hAnsiTheme="minorHAnsi"/>
                <w:i/>
                <w:lang w:val="en-GB"/>
              </w:rPr>
              <w:t>DG</w:t>
            </w:r>
            <w:r w:rsidR="00B135A6">
              <w:rPr>
                <w:rFonts w:asciiTheme="minorHAnsi" w:hAnsiTheme="minorHAnsi"/>
                <w:i/>
                <w:lang w:val="en-GB"/>
              </w:rPr>
              <w:t xml:space="preserve"> MOVE B3 Innovation and Research)</w:t>
            </w:r>
          </w:p>
        </w:tc>
      </w:tr>
      <w:tr w:rsidR="00E81E45" w:rsidRPr="00E113F5" w:rsidTr="00CB7876">
        <w:trPr>
          <w:trHeight w:val="20"/>
        </w:trPr>
        <w:tc>
          <w:tcPr>
            <w:tcW w:w="1672" w:type="dxa"/>
            <w:shd w:val="clear" w:color="auto" w:fill="FFFFFF" w:themeFill="background1"/>
          </w:tcPr>
          <w:p w:rsidR="00E81E45" w:rsidRPr="00E113F5" w:rsidRDefault="00E81E45" w:rsidP="001C2D14">
            <w:pPr>
              <w:rPr>
                <w:rFonts w:asciiTheme="minorHAnsi" w:hAnsiTheme="minorHAnsi"/>
                <w:b/>
                <w:color w:val="FFFFFF" w:themeColor="background1"/>
                <w:sz w:val="8"/>
                <w:szCs w:val="8"/>
                <w:lang w:val="en-GB"/>
              </w:rPr>
            </w:pPr>
          </w:p>
        </w:tc>
        <w:tc>
          <w:tcPr>
            <w:tcW w:w="7962" w:type="dxa"/>
            <w:shd w:val="clear" w:color="auto" w:fill="FFFFFF" w:themeFill="background1"/>
          </w:tcPr>
          <w:p w:rsidR="00E81E45" w:rsidRPr="00E113F5" w:rsidRDefault="00E81E45" w:rsidP="001C2D14">
            <w:pPr>
              <w:rPr>
                <w:rFonts w:asciiTheme="minorHAnsi" w:hAnsiTheme="minorHAnsi"/>
                <w:i/>
                <w:sz w:val="8"/>
                <w:szCs w:val="8"/>
                <w:lang w:val="en-GB"/>
              </w:rPr>
            </w:pPr>
          </w:p>
        </w:tc>
      </w:tr>
      <w:tr w:rsidR="005B5CFB" w:rsidRPr="00CB7876" w:rsidTr="00E81E45">
        <w:trPr>
          <w:trHeight w:val="20"/>
        </w:trPr>
        <w:tc>
          <w:tcPr>
            <w:tcW w:w="1672" w:type="dxa"/>
            <w:vMerge w:val="restart"/>
            <w:shd w:val="clear" w:color="auto" w:fill="0073AE"/>
          </w:tcPr>
          <w:p w:rsidR="005B5CFB" w:rsidRPr="00CB7876" w:rsidRDefault="005B5CFB" w:rsidP="00526541">
            <w:pPr>
              <w:rPr>
                <w:rFonts w:asciiTheme="minorHAnsi" w:hAnsiTheme="minorHAnsi"/>
                <w:b/>
                <w:color w:val="FFFFFF" w:themeColor="background1"/>
                <w:lang w:val="en-GB"/>
              </w:rPr>
            </w:pPr>
            <w:r>
              <w:rPr>
                <w:rFonts w:asciiTheme="minorHAnsi" w:hAnsiTheme="minorHAnsi"/>
                <w:b/>
                <w:color w:val="FFFFFF" w:themeColor="background1"/>
                <w:lang w:val="en-GB"/>
              </w:rPr>
              <w:t>1</w:t>
            </w:r>
            <w:r w:rsidR="00526541">
              <w:rPr>
                <w:rFonts w:asciiTheme="minorHAnsi" w:hAnsiTheme="minorHAnsi"/>
                <w:b/>
                <w:color w:val="FFFFFF" w:themeColor="background1"/>
                <w:lang w:val="en-GB"/>
              </w:rPr>
              <w:t>7</w:t>
            </w:r>
            <w:r>
              <w:rPr>
                <w:rFonts w:asciiTheme="minorHAnsi" w:hAnsiTheme="minorHAnsi"/>
                <w:b/>
                <w:color w:val="FFFFFF" w:themeColor="background1"/>
                <w:lang w:val="en-GB"/>
              </w:rPr>
              <w:t>:15 – 17:30</w:t>
            </w:r>
          </w:p>
        </w:tc>
        <w:tc>
          <w:tcPr>
            <w:tcW w:w="7962" w:type="dxa"/>
            <w:shd w:val="clear" w:color="auto" w:fill="FFFFFF" w:themeFill="background1"/>
          </w:tcPr>
          <w:p w:rsidR="005B5CFB" w:rsidRDefault="005B5CFB" w:rsidP="001C2D14">
            <w:pPr>
              <w:rPr>
                <w:rFonts w:asciiTheme="minorHAnsi" w:hAnsiTheme="minorHAnsi"/>
                <w:i/>
                <w:lang w:val="en-GB"/>
              </w:rPr>
            </w:pPr>
            <w:r w:rsidRPr="00E81E45">
              <w:rPr>
                <w:rFonts w:asciiTheme="minorHAnsi" w:hAnsiTheme="minorHAnsi"/>
                <w:b/>
                <w:color w:val="00AEEF"/>
                <w:lang w:val="en-GB"/>
              </w:rPr>
              <w:t>Final wrap-up</w:t>
            </w:r>
          </w:p>
        </w:tc>
      </w:tr>
      <w:tr w:rsidR="005B5CFB" w:rsidRPr="00E113F5" w:rsidTr="00E81E45">
        <w:trPr>
          <w:trHeight w:val="20"/>
        </w:trPr>
        <w:tc>
          <w:tcPr>
            <w:tcW w:w="1672" w:type="dxa"/>
            <w:vMerge/>
            <w:shd w:val="clear" w:color="auto" w:fill="0073AE"/>
          </w:tcPr>
          <w:p w:rsidR="005B5CFB" w:rsidRPr="00CB7876" w:rsidRDefault="005B5CFB" w:rsidP="001C2D14">
            <w:pPr>
              <w:rPr>
                <w:rFonts w:asciiTheme="minorHAnsi" w:hAnsiTheme="minorHAnsi"/>
                <w:b/>
                <w:color w:val="FFFFFF" w:themeColor="background1"/>
                <w:lang w:val="en-GB"/>
              </w:rPr>
            </w:pPr>
          </w:p>
        </w:tc>
        <w:tc>
          <w:tcPr>
            <w:tcW w:w="7962" w:type="dxa"/>
            <w:shd w:val="clear" w:color="auto" w:fill="FFFFFF" w:themeFill="background1"/>
          </w:tcPr>
          <w:p w:rsidR="005B5CFB" w:rsidRDefault="005B5CFB" w:rsidP="001C2D14">
            <w:pPr>
              <w:pStyle w:val="ListParagraph"/>
              <w:numPr>
                <w:ilvl w:val="0"/>
                <w:numId w:val="7"/>
              </w:numPr>
              <w:ind w:left="488"/>
              <w:rPr>
                <w:rFonts w:asciiTheme="minorHAnsi" w:hAnsiTheme="minorHAnsi"/>
                <w:i/>
                <w:lang w:val="en-GB"/>
              </w:rPr>
            </w:pPr>
            <w:r w:rsidRPr="00E81E45">
              <w:rPr>
                <w:rFonts w:asciiTheme="minorHAnsi" w:hAnsiTheme="minorHAnsi"/>
                <w:i/>
                <w:lang w:val="en-GB"/>
              </w:rPr>
              <w:t>Henriette VAN-EIJL</w:t>
            </w:r>
            <w:r w:rsidR="00B135A6">
              <w:rPr>
                <w:rFonts w:asciiTheme="minorHAnsi" w:hAnsiTheme="minorHAnsi"/>
                <w:i/>
                <w:lang w:val="en-GB"/>
              </w:rPr>
              <w:t xml:space="preserve"> (</w:t>
            </w:r>
            <w:r w:rsidRPr="00E81E45">
              <w:rPr>
                <w:rFonts w:asciiTheme="minorHAnsi" w:hAnsiTheme="minorHAnsi"/>
                <w:i/>
                <w:lang w:val="en-GB"/>
              </w:rPr>
              <w:t>DG MOVE B3 Innovation and Research</w:t>
            </w:r>
            <w:r w:rsidR="00B135A6">
              <w:rPr>
                <w:rFonts w:asciiTheme="minorHAnsi" w:hAnsiTheme="minorHAnsi"/>
                <w:i/>
                <w:lang w:val="en-GB"/>
              </w:rPr>
              <w:t>)</w:t>
            </w:r>
          </w:p>
          <w:p w:rsidR="004539BF" w:rsidRDefault="00E113F5" w:rsidP="001C2D14">
            <w:pPr>
              <w:pStyle w:val="ListParagraph"/>
              <w:numPr>
                <w:ilvl w:val="0"/>
                <w:numId w:val="7"/>
              </w:numPr>
              <w:ind w:left="488"/>
              <w:rPr>
                <w:rFonts w:asciiTheme="minorHAnsi" w:hAnsiTheme="minorHAnsi"/>
                <w:i/>
                <w:lang w:val="en-GB"/>
              </w:rPr>
            </w:pPr>
            <w:r>
              <w:rPr>
                <w:rFonts w:asciiTheme="minorHAnsi" w:hAnsiTheme="minorHAnsi"/>
                <w:i/>
                <w:lang w:val="en-GB"/>
              </w:rPr>
              <w:t>Christian G</w:t>
            </w:r>
            <w:r w:rsidRPr="00E113F5">
              <w:rPr>
                <w:rFonts w:asciiTheme="minorHAnsi" w:hAnsiTheme="minorHAnsi"/>
                <w:i/>
                <w:lang w:val="en-GB"/>
              </w:rPr>
              <w:t>UERTLER</w:t>
            </w:r>
            <w:r>
              <w:rPr>
                <w:rFonts w:asciiTheme="minorHAnsi" w:hAnsiTheme="minorHAnsi"/>
                <w:i/>
                <w:lang w:val="en-GB"/>
              </w:rPr>
              <w:t xml:space="preserve"> (The-Urban-Institute)</w:t>
            </w:r>
          </w:p>
        </w:tc>
      </w:tr>
    </w:tbl>
    <w:p w:rsidR="00FB226F" w:rsidRPr="003120E5" w:rsidRDefault="00FB226F" w:rsidP="00E81E45">
      <w:pPr>
        <w:rPr>
          <w:rFonts w:ascii="Calibri" w:hAnsi="Calibri"/>
          <w:lang w:val="en-GB"/>
        </w:rPr>
      </w:pPr>
    </w:p>
    <w:sectPr w:rsidR="00FB226F" w:rsidRPr="003120E5">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850" w:rsidRDefault="00865850" w:rsidP="005F043C">
      <w:pPr>
        <w:spacing w:after="0" w:line="240" w:lineRule="auto"/>
      </w:pPr>
      <w:r>
        <w:separator/>
      </w:r>
    </w:p>
  </w:endnote>
  <w:endnote w:type="continuationSeparator" w:id="0">
    <w:p w:rsidR="00865850" w:rsidRDefault="00865850" w:rsidP="005F0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850" w:rsidRDefault="00865850" w:rsidP="005F043C">
      <w:pPr>
        <w:spacing w:after="0" w:line="240" w:lineRule="auto"/>
      </w:pPr>
      <w:r>
        <w:separator/>
      </w:r>
    </w:p>
  </w:footnote>
  <w:footnote w:type="continuationSeparator" w:id="0">
    <w:p w:rsidR="00865850" w:rsidRDefault="00865850" w:rsidP="005F0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43C" w:rsidRPr="007864D9" w:rsidRDefault="005F043C" w:rsidP="005F043C">
    <w:pPr>
      <w:tabs>
        <w:tab w:val="center" w:pos="4252"/>
        <w:tab w:val="right" w:pos="8504"/>
      </w:tabs>
      <w:spacing w:after="0" w:line="240" w:lineRule="auto"/>
      <w:jc w:val="both"/>
      <w:rPr>
        <w:rFonts w:ascii="Calibri" w:eastAsia="Calibri" w:hAnsi="Calibri" w:cs="Arial"/>
      </w:rPr>
    </w:pPr>
    <w:r w:rsidRPr="007864D9">
      <w:rPr>
        <w:rFonts w:ascii="Arial" w:eastAsia="Calibri" w:hAnsi="Arial" w:cs="Arial"/>
        <w:noProof/>
        <w:lang w:val="en-US"/>
      </w:rPr>
      <w:drawing>
        <wp:anchor distT="0" distB="0" distL="114300" distR="114300" simplePos="0" relativeHeight="251659264" behindDoc="0" locked="0" layoutInCell="1" allowOverlap="1" wp14:anchorId="51720047" wp14:editId="1D818534">
          <wp:simplePos x="0" y="0"/>
          <wp:positionH relativeFrom="column">
            <wp:posOffset>-202809</wp:posOffset>
          </wp:positionH>
          <wp:positionV relativeFrom="paragraph">
            <wp:posOffset>-157480</wp:posOffset>
          </wp:positionV>
          <wp:extent cx="1066800" cy="1066800"/>
          <wp:effectExtent l="0" t="0" r="0" b="0"/>
          <wp:wrapSquare wrapText="bothSides"/>
          <wp:docPr id="8" name="Picture 8" descr="EIP-SCC_VisuElement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P-SCC_VisuElement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43C" w:rsidRPr="005F043C" w:rsidRDefault="005F043C" w:rsidP="005F043C">
    <w:pPr>
      <w:tabs>
        <w:tab w:val="center" w:pos="4252"/>
        <w:tab w:val="right" w:pos="8504"/>
      </w:tabs>
      <w:spacing w:after="0" w:line="240" w:lineRule="auto"/>
      <w:jc w:val="right"/>
      <w:rPr>
        <w:rFonts w:ascii="Calibri" w:eastAsia="Calibri" w:hAnsi="Calibri" w:cs="Arial"/>
        <w:b/>
        <w:color w:val="03A0CD"/>
        <w:sz w:val="26"/>
        <w:szCs w:val="26"/>
        <w:lang w:val="en-GB"/>
      </w:rPr>
    </w:pPr>
    <w:r w:rsidRPr="005F043C">
      <w:rPr>
        <w:rFonts w:ascii="Calibri" w:eastAsia="Calibri" w:hAnsi="Calibri" w:cs="Arial"/>
        <w:b/>
        <w:color w:val="03A0CD"/>
        <w:sz w:val="26"/>
        <w:szCs w:val="26"/>
        <w:lang w:val="en-GB"/>
      </w:rPr>
      <w:t>European Innovation Partnership on Smart Cities and Communities</w:t>
    </w:r>
  </w:p>
  <w:p w:rsidR="005F043C" w:rsidRPr="005F043C" w:rsidRDefault="005F043C" w:rsidP="005F043C">
    <w:pPr>
      <w:tabs>
        <w:tab w:val="center" w:pos="4252"/>
        <w:tab w:val="right" w:pos="8504"/>
      </w:tabs>
      <w:spacing w:after="0" w:line="240" w:lineRule="auto"/>
      <w:jc w:val="right"/>
      <w:rPr>
        <w:rFonts w:ascii="Calibri" w:eastAsia="Calibri" w:hAnsi="Calibri" w:cs="Arial"/>
        <w:b/>
        <w:color w:val="73C267"/>
        <w:sz w:val="34"/>
        <w:szCs w:val="34"/>
        <w:lang w:val="en-GB"/>
      </w:rPr>
    </w:pPr>
    <w:r w:rsidRPr="005F043C">
      <w:rPr>
        <w:rFonts w:ascii="Calibri" w:eastAsia="Calibri" w:hAnsi="Calibri" w:cs="Arial"/>
        <w:b/>
        <w:color w:val="73C267"/>
        <w:sz w:val="34"/>
        <w:szCs w:val="34"/>
        <w:lang w:val="en-GB"/>
      </w:rPr>
      <w:t>Building a Market for Smart Cities and Communities</w:t>
    </w:r>
  </w:p>
  <w:p w:rsidR="005F043C" w:rsidRPr="00FB3B54" w:rsidRDefault="005F043C" w:rsidP="005F043C">
    <w:pPr>
      <w:tabs>
        <w:tab w:val="center" w:pos="4252"/>
        <w:tab w:val="right" w:pos="8504"/>
      </w:tabs>
      <w:spacing w:after="0" w:line="240" w:lineRule="auto"/>
      <w:jc w:val="right"/>
      <w:rPr>
        <w:lang w:val="es-ES"/>
      </w:rPr>
    </w:pPr>
    <w:r w:rsidRPr="005F043C">
      <w:rPr>
        <w:rFonts w:ascii="Calibri" w:eastAsia="Calibri" w:hAnsi="Calibri" w:cs="Arial"/>
        <w:b/>
        <w:color w:val="03A0CD"/>
        <w:sz w:val="36"/>
        <w:szCs w:val="40"/>
        <w:lang w:val="en-GB"/>
      </w:rPr>
      <w:t xml:space="preserve">       </w:t>
    </w:r>
    <w:r>
      <w:rPr>
        <w:rFonts w:ascii="Calibri" w:eastAsia="Calibri" w:hAnsi="Calibri" w:cs="Arial"/>
        <w:b/>
        <w:color w:val="03A0CD"/>
        <w:sz w:val="36"/>
        <w:szCs w:val="40"/>
      </w:rPr>
      <w:t>Sustainable Urban Mobility</w:t>
    </w:r>
    <w:r w:rsidRPr="007864D9">
      <w:rPr>
        <w:rFonts w:ascii="Calibri" w:eastAsia="Calibri" w:hAnsi="Calibri" w:cs="Arial"/>
        <w:b/>
        <w:color w:val="03A0CD"/>
        <w:sz w:val="36"/>
        <w:szCs w:val="40"/>
      </w:rPr>
      <w:t xml:space="preserve"> </w:t>
    </w:r>
    <w:r>
      <w:rPr>
        <w:rFonts w:ascii="Calibri" w:eastAsia="Calibri" w:hAnsi="Calibri" w:cs="Arial"/>
        <w:b/>
        <w:color w:val="03A0CD"/>
        <w:sz w:val="36"/>
        <w:szCs w:val="40"/>
      </w:rPr>
      <w:t>Action Cluster</w:t>
    </w:r>
  </w:p>
  <w:p w:rsidR="005F043C" w:rsidRDefault="005F04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857E8"/>
    <w:multiLevelType w:val="hybridMultilevel"/>
    <w:tmpl w:val="8BBC0C68"/>
    <w:lvl w:ilvl="0" w:tplc="544441E4">
      <w:start w:val="1"/>
      <w:numFmt w:val="decimal"/>
      <w:lvlText w:val="%1."/>
      <w:lvlJc w:val="left"/>
      <w:pPr>
        <w:ind w:left="720" w:hanging="360"/>
      </w:pPr>
      <w:rPr>
        <w:rFonts w:asciiTheme="minorHAnsi" w:hAnsiTheme="minorHAnsi" w:hint="default"/>
        <w:b w:val="0"/>
        <w:i w:val="0"/>
        <w:caps w:val="0"/>
        <w:strike w:val="0"/>
        <w:dstrike w:val="0"/>
        <w:vanish w:val="0"/>
        <w:color w:val="FFFFFF" w:themeColor="background1"/>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D71AC8"/>
    <w:multiLevelType w:val="multilevel"/>
    <w:tmpl w:val="1A24185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8059D"/>
    <w:multiLevelType w:val="hybridMultilevel"/>
    <w:tmpl w:val="6B2AAE44"/>
    <w:lvl w:ilvl="0" w:tplc="F312B97C">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F55F67"/>
    <w:multiLevelType w:val="hybridMultilevel"/>
    <w:tmpl w:val="652A8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BD4012"/>
    <w:multiLevelType w:val="hybridMultilevel"/>
    <w:tmpl w:val="73B69052"/>
    <w:lvl w:ilvl="0" w:tplc="FAC02854">
      <w:start w:val="3"/>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674F0A"/>
    <w:multiLevelType w:val="hybridMultilevel"/>
    <w:tmpl w:val="EF4248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CD0442"/>
    <w:multiLevelType w:val="hybridMultilevel"/>
    <w:tmpl w:val="4F782366"/>
    <w:lvl w:ilvl="0" w:tplc="8C422326">
      <w:start w:val="1"/>
      <w:numFmt w:val="bullet"/>
      <w:lvlText w:val=""/>
      <w:lvlJc w:val="left"/>
      <w:pPr>
        <w:ind w:left="720" w:hanging="360"/>
      </w:pPr>
      <w:rPr>
        <w:rFonts w:ascii="Wingdings" w:hAnsi="Wingdings" w:hint="default"/>
        <w:color w:val="FFFFFF" w:themeColor="background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D397A32"/>
    <w:multiLevelType w:val="hybridMultilevel"/>
    <w:tmpl w:val="7EF6458C"/>
    <w:lvl w:ilvl="0" w:tplc="FAC02854">
      <w:start w:val="3"/>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043671"/>
    <w:multiLevelType w:val="hybridMultilevel"/>
    <w:tmpl w:val="75C21288"/>
    <w:lvl w:ilvl="0" w:tplc="FAC02854">
      <w:start w:val="3"/>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0"/>
  </w:num>
  <w:num w:numId="5">
    <w:abstractNumId w:val="3"/>
  </w:num>
  <w:num w:numId="6">
    <w:abstractNumId w:val="5"/>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3C"/>
    <w:rsid w:val="0003159A"/>
    <w:rsid w:val="000C1A14"/>
    <w:rsid w:val="00104EDE"/>
    <w:rsid w:val="0018512D"/>
    <w:rsid w:val="0019788B"/>
    <w:rsid w:val="001C2D14"/>
    <w:rsid w:val="001D4BC4"/>
    <w:rsid w:val="002973F4"/>
    <w:rsid w:val="002C7C53"/>
    <w:rsid w:val="002E67C7"/>
    <w:rsid w:val="003120E5"/>
    <w:rsid w:val="003634E0"/>
    <w:rsid w:val="003A75FC"/>
    <w:rsid w:val="003B27A7"/>
    <w:rsid w:val="004254EC"/>
    <w:rsid w:val="004329E6"/>
    <w:rsid w:val="004539BF"/>
    <w:rsid w:val="004672A7"/>
    <w:rsid w:val="00482A76"/>
    <w:rsid w:val="004D414E"/>
    <w:rsid w:val="004F5DBE"/>
    <w:rsid w:val="00526541"/>
    <w:rsid w:val="005626E1"/>
    <w:rsid w:val="005A7717"/>
    <w:rsid w:val="005B5CFB"/>
    <w:rsid w:val="005F043C"/>
    <w:rsid w:val="006541D2"/>
    <w:rsid w:val="0068108E"/>
    <w:rsid w:val="00697366"/>
    <w:rsid w:val="0072488F"/>
    <w:rsid w:val="00726C08"/>
    <w:rsid w:val="00755011"/>
    <w:rsid w:val="00812575"/>
    <w:rsid w:val="008547C8"/>
    <w:rsid w:val="00865850"/>
    <w:rsid w:val="008826B6"/>
    <w:rsid w:val="008A00CF"/>
    <w:rsid w:val="00923361"/>
    <w:rsid w:val="00942A62"/>
    <w:rsid w:val="009B43F8"/>
    <w:rsid w:val="00A531E3"/>
    <w:rsid w:val="00AD5737"/>
    <w:rsid w:val="00B135A6"/>
    <w:rsid w:val="00B2754F"/>
    <w:rsid w:val="00B442D0"/>
    <w:rsid w:val="00B647CC"/>
    <w:rsid w:val="00BB2FF0"/>
    <w:rsid w:val="00BE03A1"/>
    <w:rsid w:val="00C40413"/>
    <w:rsid w:val="00C43647"/>
    <w:rsid w:val="00C73D20"/>
    <w:rsid w:val="00CA2B21"/>
    <w:rsid w:val="00CB7876"/>
    <w:rsid w:val="00CC2710"/>
    <w:rsid w:val="00CC7441"/>
    <w:rsid w:val="00CD2C8D"/>
    <w:rsid w:val="00D13819"/>
    <w:rsid w:val="00D7245A"/>
    <w:rsid w:val="00DA30BD"/>
    <w:rsid w:val="00DE396C"/>
    <w:rsid w:val="00DF47C0"/>
    <w:rsid w:val="00E113F5"/>
    <w:rsid w:val="00E81E45"/>
    <w:rsid w:val="00EA50AE"/>
    <w:rsid w:val="00EA7884"/>
    <w:rsid w:val="00EC2445"/>
    <w:rsid w:val="00EC795D"/>
    <w:rsid w:val="00F47F14"/>
    <w:rsid w:val="00F77A3F"/>
    <w:rsid w:val="00FB226F"/>
    <w:rsid w:val="00FC231B"/>
    <w:rsid w:val="00FE5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01312-257C-4C3A-A408-55761231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413"/>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43C"/>
    <w:pPr>
      <w:tabs>
        <w:tab w:val="center" w:pos="4819"/>
        <w:tab w:val="right" w:pos="9638"/>
      </w:tabs>
      <w:spacing w:after="0" w:line="240" w:lineRule="auto"/>
    </w:pPr>
  </w:style>
  <w:style w:type="character" w:customStyle="1" w:styleId="HeaderChar">
    <w:name w:val="Header Char"/>
    <w:basedOn w:val="DefaultParagraphFont"/>
    <w:link w:val="Header"/>
    <w:uiPriority w:val="99"/>
    <w:rsid w:val="005F043C"/>
    <w:rPr>
      <w:lang w:val="it-IT"/>
    </w:rPr>
  </w:style>
  <w:style w:type="paragraph" w:styleId="Footer">
    <w:name w:val="footer"/>
    <w:basedOn w:val="Normal"/>
    <w:link w:val="FooterChar"/>
    <w:uiPriority w:val="99"/>
    <w:unhideWhenUsed/>
    <w:rsid w:val="005F043C"/>
    <w:pPr>
      <w:tabs>
        <w:tab w:val="center" w:pos="4819"/>
        <w:tab w:val="right" w:pos="9638"/>
      </w:tabs>
      <w:spacing w:after="0" w:line="240" w:lineRule="auto"/>
    </w:pPr>
  </w:style>
  <w:style w:type="character" w:customStyle="1" w:styleId="FooterChar">
    <w:name w:val="Footer Char"/>
    <w:basedOn w:val="DefaultParagraphFont"/>
    <w:link w:val="Footer"/>
    <w:uiPriority w:val="99"/>
    <w:rsid w:val="005F043C"/>
    <w:rPr>
      <w:lang w:val="it-IT"/>
    </w:rPr>
  </w:style>
  <w:style w:type="paragraph" w:styleId="ListParagraph">
    <w:name w:val="List Paragraph"/>
    <w:basedOn w:val="Normal"/>
    <w:uiPriority w:val="34"/>
    <w:qFormat/>
    <w:rsid w:val="00F47F14"/>
    <w:pPr>
      <w:ind w:left="720"/>
      <w:contextualSpacing/>
    </w:pPr>
  </w:style>
  <w:style w:type="table" w:customStyle="1" w:styleId="Azul2">
    <w:name w:val="Azul 2"/>
    <w:basedOn w:val="TableNormal"/>
    <w:uiPriority w:val="99"/>
    <w:rsid w:val="004672A7"/>
    <w:pPr>
      <w:spacing w:after="0" w:line="240" w:lineRule="auto"/>
    </w:pPr>
    <w:rPr>
      <w:rFonts w:asciiTheme="minorHAnsi" w:eastAsia="Times New Roman" w:hAnsiTheme="minorHAnsi" w:cs="Times New Roman"/>
      <w:szCs w:val="20"/>
      <w:lang w:val="es-ES"/>
    </w:rPr>
    <w:tblPr>
      <w:tblBorders>
        <w:top w:val="single" w:sz="12" w:space="0" w:color="666699"/>
        <w:left w:val="single" w:sz="12" w:space="0" w:color="666699"/>
        <w:bottom w:val="single" w:sz="12" w:space="0" w:color="666699"/>
        <w:right w:val="single" w:sz="12" w:space="0" w:color="666699"/>
        <w:insideH w:val="single" w:sz="6" w:space="0" w:color="666699"/>
        <w:insideV w:val="single" w:sz="6" w:space="0" w:color="666699"/>
      </w:tblBorders>
    </w:tblPr>
  </w:style>
  <w:style w:type="table" w:styleId="TableGrid">
    <w:name w:val="Table Grid"/>
    <w:basedOn w:val="TableNormal"/>
    <w:rsid w:val="00FB226F"/>
    <w:pPr>
      <w:spacing w:after="0" w:line="240" w:lineRule="auto"/>
    </w:pPr>
    <w:rPr>
      <w:rFonts w:ascii="Calibri" w:eastAsia="Calibri" w:hAnsi="Calibri" w:cs="Times New Roman"/>
      <w:szCs w:val="20"/>
      <w:lang w:val="it-I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FB226F"/>
    <w:pPr>
      <w:spacing w:after="180" w:line="260" w:lineRule="atLeast"/>
    </w:pPr>
    <w:rPr>
      <w:szCs w:val="20"/>
      <w:lang w:val="en-GB"/>
    </w:rPr>
  </w:style>
  <w:style w:type="character" w:customStyle="1" w:styleId="BodyTextChar">
    <w:name w:val="Body Text Char"/>
    <w:basedOn w:val="DefaultParagraphFont"/>
    <w:link w:val="BodyText"/>
    <w:rsid w:val="00FB226F"/>
    <w:rPr>
      <w:szCs w:val="20"/>
      <w:lang w:val="en-GB"/>
    </w:rPr>
  </w:style>
  <w:style w:type="paragraph" w:styleId="BalloonText">
    <w:name w:val="Balloon Text"/>
    <w:basedOn w:val="Normal"/>
    <w:link w:val="BalloonTextChar"/>
    <w:uiPriority w:val="99"/>
    <w:semiHidden/>
    <w:unhideWhenUsed/>
    <w:rsid w:val="00B27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54F"/>
    <w:rPr>
      <w:rFonts w:ascii="Tahoma" w:hAnsi="Tahoma" w:cs="Tahoma"/>
      <w:sz w:val="16"/>
      <w:szCs w:val="16"/>
      <w:lang w:val="it-IT"/>
    </w:rPr>
  </w:style>
  <w:style w:type="character" w:styleId="CommentReference">
    <w:name w:val="annotation reference"/>
    <w:basedOn w:val="DefaultParagraphFont"/>
    <w:uiPriority w:val="99"/>
    <w:semiHidden/>
    <w:unhideWhenUsed/>
    <w:rsid w:val="005626E1"/>
    <w:rPr>
      <w:sz w:val="16"/>
      <w:szCs w:val="16"/>
    </w:rPr>
  </w:style>
  <w:style w:type="paragraph" w:styleId="CommentText">
    <w:name w:val="annotation text"/>
    <w:basedOn w:val="Normal"/>
    <w:link w:val="CommentTextChar"/>
    <w:uiPriority w:val="99"/>
    <w:semiHidden/>
    <w:unhideWhenUsed/>
    <w:rsid w:val="005626E1"/>
    <w:pPr>
      <w:spacing w:line="240" w:lineRule="auto"/>
    </w:pPr>
    <w:rPr>
      <w:szCs w:val="20"/>
    </w:rPr>
  </w:style>
  <w:style w:type="character" w:customStyle="1" w:styleId="CommentTextChar">
    <w:name w:val="Comment Text Char"/>
    <w:basedOn w:val="DefaultParagraphFont"/>
    <w:link w:val="CommentText"/>
    <w:uiPriority w:val="99"/>
    <w:semiHidden/>
    <w:rsid w:val="005626E1"/>
    <w:rPr>
      <w:szCs w:val="20"/>
      <w:lang w:val="it-IT"/>
    </w:rPr>
  </w:style>
  <w:style w:type="paragraph" w:styleId="CommentSubject">
    <w:name w:val="annotation subject"/>
    <w:basedOn w:val="CommentText"/>
    <w:next w:val="CommentText"/>
    <w:link w:val="CommentSubjectChar"/>
    <w:uiPriority w:val="99"/>
    <w:semiHidden/>
    <w:unhideWhenUsed/>
    <w:rsid w:val="005626E1"/>
    <w:rPr>
      <w:b/>
      <w:bCs/>
    </w:rPr>
  </w:style>
  <w:style w:type="character" w:customStyle="1" w:styleId="CommentSubjectChar">
    <w:name w:val="Comment Subject Char"/>
    <w:basedOn w:val="CommentTextChar"/>
    <w:link w:val="CommentSubject"/>
    <w:uiPriority w:val="99"/>
    <w:semiHidden/>
    <w:rsid w:val="005626E1"/>
    <w:rPr>
      <w:b/>
      <w:bCs/>
      <w:szCs w:val="20"/>
      <w:lang w:val="it-IT"/>
    </w:rPr>
  </w:style>
  <w:style w:type="character" w:styleId="Hyperlink">
    <w:name w:val="Hyperlink"/>
    <w:basedOn w:val="DefaultParagraphFont"/>
    <w:uiPriority w:val="99"/>
    <w:unhideWhenUsed/>
    <w:rsid w:val="003B27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rbanforesight.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ebi-schmidt.com/en/ho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irbus.co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nissan-global.com/EN/index.html" TargetMode="External"/><Relationship Id="rId4" Type="http://schemas.openxmlformats.org/officeDocument/2006/relationships/webSettings" Target="webSettings.xml"/><Relationship Id="rId9" Type="http://schemas.openxmlformats.org/officeDocument/2006/relationships/hyperlink" Target="http://english.brabant.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6C157A36CBB490E82F6FE60BD65FBB6"/>
        <w:category>
          <w:name w:val="General"/>
          <w:gallery w:val="placeholder"/>
        </w:category>
        <w:types>
          <w:type w:val="bbPlcHdr"/>
        </w:types>
        <w:behaviors>
          <w:behavior w:val="content"/>
        </w:behaviors>
        <w:guid w:val="{86289A12-5BC4-4BB3-9B34-5DFF48961CFB}"/>
      </w:docPartPr>
      <w:docPartBody>
        <w:p w:rsidR="002977AB" w:rsidRDefault="00897C1D" w:rsidP="00897C1D">
          <w:pPr>
            <w:pStyle w:val="F6C157A36CBB490E82F6FE60BD65FBB6"/>
          </w:pPr>
          <w:r w:rsidRPr="00351B5D">
            <w:rPr>
              <w:rFonts w:eastAsiaTheme="majorEastAsia"/>
            </w:rPr>
            <w:t>[Escriba el título del proyecto]</w:t>
          </w:r>
        </w:p>
      </w:docPartBody>
    </w:docPart>
    <w:docPart>
      <w:docPartPr>
        <w:name w:val="2EEF0556288145B9957ECA9732EAF57B"/>
        <w:category>
          <w:name w:val="General"/>
          <w:gallery w:val="placeholder"/>
        </w:category>
        <w:types>
          <w:type w:val="bbPlcHdr"/>
        </w:types>
        <w:behaviors>
          <w:behavior w:val="content"/>
        </w:behaviors>
        <w:guid w:val="{BC13E109-AA3E-434E-9EB9-5BCD89A6AB2B}"/>
      </w:docPartPr>
      <w:docPartBody>
        <w:p w:rsidR="002977AB" w:rsidRDefault="00897C1D" w:rsidP="00897C1D">
          <w:pPr>
            <w:pStyle w:val="2EEF0556288145B9957ECA9732EAF57B"/>
          </w:pPr>
          <w:r>
            <w:t>Teclea el nombre del Action Cluster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C1D"/>
    <w:rsid w:val="00251073"/>
    <w:rsid w:val="002977AB"/>
    <w:rsid w:val="00401E79"/>
    <w:rsid w:val="00897C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C157A36CBB490E82F6FE60BD65FBB6">
    <w:name w:val="F6C157A36CBB490E82F6FE60BD65FBB6"/>
    <w:rsid w:val="00897C1D"/>
  </w:style>
  <w:style w:type="paragraph" w:customStyle="1" w:styleId="2EEF0556288145B9957ECA9732EAF57B">
    <w:name w:val="2EEF0556288145B9957ECA9732EAF57B"/>
    <w:rsid w:val="00897C1D"/>
  </w:style>
  <w:style w:type="paragraph" w:customStyle="1" w:styleId="8578407C15204A2195CC951B8CC1A98E">
    <w:name w:val="8578407C15204A2195CC951B8CC1A98E"/>
    <w:rsid w:val="00897C1D"/>
  </w:style>
  <w:style w:type="paragraph" w:customStyle="1" w:styleId="C4F48E35BC0242C4BACF52217C281712">
    <w:name w:val="C4F48E35BC0242C4BACF52217C281712"/>
    <w:rsid w:val="00897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AC MEETING</vt:lpstr>
    </vt:vector>
  </TitlesOfParts>
  <Company>PricewaterhouseCoopers</Company>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 MEETING</dc:title>
  <dc:subject>Sustainable Urban Mobility</dc:subject>
  <dc:creator>Enrico Gaspari</dc:creator>
  <cp:lastModifiedBy>Andrew Pinn (MCI Brussels)</cp:lastModifiedBy>
  <cp:revision>2</cp:revision>
  <cp:lastPrinted>2017-09-28T08:46:00Z</cp:lastPrinted>
  <dcterms:created xsi:type="dcterms:W3CDTF">2017-10-06T08:33:00Z</dcterms:created>
  <dcterms:modified xsi:type="dcterms:W3CDTF">2017-10-06T08:33:00Z</dcterms:modified>
</cp:coreProperties>
</file>